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8532D" w14:textId="77777777" w:rsidR="00094034" w:rsidRDefault="00000000">
      <w:pPr>
        <w:spacing w:line="360" w:lineRule="auto"/>
        <w:jc w:val="center"/>
        <w:rPr>
          <w:rFonts w:ascii="黑体" w:eastAsia="黑体" w:hAnsi="黑体" w:cs="黑体" w:hint="eastAsia"/>
          <w:sz w:val="32"/>
          <w:szCs w:val="32"/>
        </w:rPr>
      </w:pPr>
      <w:r>
        <w:rPr>
          <w:rFonts w:ascii="黑体" w:eastAsia="黑体" w:hAnsi="黑体" w:cs="黑体" w:hint="eastAsia"/>
          <w:sz w:val="32"/>
          <w:szCs w:val="32"/>
        </w:rPr>
        <w:t>《基于光散射法的油烟颗粒物在线监测仪》</w:t>
      </w:r>
    </w:p>
    <w:p w14:paraId="794BE4B9" w14:textId="77777777" w:rsidR="00094034" w:rsidRDefault="00000000">
      <w:pPr>
        <w:spacing w:line="360" w:lineRule="auto"/>
        <w:jc w:val="center"/>
        <w:rPr>
          <w:rFonts w:ascii="黑体" w:eastAsia="黑体" w:hAnsi="黑体" w:cs="黑体" w:hint="eastAsia"/>
          <w:sz w:val="28"/>
          <w:szCs w:val="28"/>
        </w:rPr>
      </w:pPr>
      <w:r>
        <w:rPr>
          <w:rFonts w:ascii="黑体" w:eastAsia="黑体" w:hAnsi="黑体" w:cs="黑体" w:hint="eastAsia"/>
          <w:sz w:val="28"/>
          <w:szCs w:val="28"/>
        </w:rPr>
        <w:t>编制说明</w:t>
      </w:r>
    </w:p>
    <w:p w14:paraId="6F928551" w14:textId="77777777" w:rsidR="00094034" w:rsidRDefault="00000000">
      <w:pPr>
        <w:spacing w:line="360" w:lineRule="auto"/>
        <w:jc w:val="center"/>
        <w:rPr>
          <w:rFonts w:ascii="黑体" w:eastAsia="黑体" w:hAnsi="黑体" w:cs="黑体" w:hint="eastAsia"/>
          <w:color w:val="000000" w:themeColor="text1"/>
          <w:sz w:val="28"/>
          <w:szCs w:val="28"/>
        </w:rPr>
      </w:pPr>
      <w:r>
        <w:rPr>
          <w:rFonts w:ascii="黑体" w:eastAsia="黑体" w:hAnsi="黑体" w:cs="黑体" w:hint="eastAsia"/>
          <w:color w:val="000000" w:themeColor="text1"/>
          <w:sz w:val="28"/>
          <w:szCs w:val="28"/>
        </w:rPr>
        <w:t>(征求意见稿)</w:t>
      </w:r>
    </w:p>
    <w:p w14:paraId="631154DB" w14:textId="77777777" w:rsidR="00094034" w:rsidRDefault="00000000">
      <w:pPr>
        <w:spacing w:line="360" w:lineRule="auto"/>
        <w:rPr>
          <w:rFonts w:asciiTheme="majorEastAsia" w:eastAsiaTheme="majorEastAsia" w:hAnsiTheme="majorEastAsia" w:cs="宋体" w:hint="eastAsia"/>
          <w:sz w:val="24"/>
        </w:rPr>
      </w:pPr>
      <w:r>
        <w:rPr>
          <w:rFonts w:asciiTheme="majorEastAsia" w:eastAsiaTheme="majorEastAsia" w:hAnsiTheme="majorEastAsia" w:cs="黑体" w:hint="eastAsia"/>
          <w:sz w:val="24"/>
        </w:rPr>
        <w:t>一、工作简况</w:t>
      </w:r>
    </w:p>
    <w:p w14:paraId="2AF14D12" w14:textId="77777777" w:rsidR="00094034" w:rsidRDefault="00000000">
      <w:pPr>
        <w:spacing w:line="360" w:lineRule="auto"/>
        <w:rPr>
          <w:rFonts w:asciiTheme="majorEastAsia" w:eastAsiaTheme="majorEastAsia" w:hAnsiTheme="majorEastAsia" w:cs="宋体" w:hint="eastAsia"/>
          <w:sz w:val="24"/>
        </w:rPr>
      </w:pPr>
      <w:r>
        <w:rPr>
          <w:rFonts w:asciiTheme="majorEastAsia" w:eastAsiaTheme="majorEastAsia" w:hAnsiTheme="majorEastAsia" w:cs="黑体" w:hint="eastAsia"/>
          <w:sz w:val="24"/>
        </w:rPr>
        <w:t>1. 任务来源</w:t>
      </w:r>
    </w:p>
    <w:p w14:paraId="06267A84" w14:textId="77777777" w:rsidR="00094034" w:rsidRDefault="00000000">
      <w:pPr>
        <w:spacing w:line="360" w:lineRule="auto"/>
        <w:ind w:firstLine="56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sz w:val="24"/>
        </w:rPr>
        <w:t>根据工业和信息化部于2023年10月《2023年第三批行业标准制修订和外文版项目计划》（工</w:t>
      </w:r>
      <w:proofErr w:type="gramStart"/>
      <w:r>
        <w:rPr>
          <w:rFonts w:asciiTheme="majorEastAsia" w:eastAsiaTheme="majorEastAsia" w:hAnsiTheme="majorEastAsia" w:cs="宋体" w:hint="eastAsia"/>
          <w:sz w:val="24"/>
        </w:rPr>
        <w:t>信厅科函</w:t>
      </w:r>
      <w:proofErr w:type="gramEnd"/>
      <w:r>
        <w:rPr>
          <w:rFonts w:asciiTheme="majorEastAsia" w:eastAsiaTheme="majorEastAsia" w:hAnsiTheme="majorEastAsia" w:cs="宋体" w:hint="eastAsia"/>
          <w:sz w:val="24"/>
        </w:rPr>
        <w:t>〔2023〕291号），其中《基于光散射法的油烟颗粒物在线监测仪》（项目代号 2023-1577T-JB）为行业标准制定项目。该项目主管单位为中国机械工业联合会，技术归口单位为全国工业过程测量控制和自动化标准化技术委员会分析仪器分技术委员会。</w:t>
      </w:r>
      <w:r>
        <w:rPr>
          <w:rFonts w:asciiTheme="majorEastAsia" w:eastAsiaTheme="majorEastAsia" w:hAnsiTheme="majorEastAsia" w:cs="宋体" w:hint="eastAsia"/>
          <w:color w:val="000000" w:themeColor="text1"/>
          <w:sz w:val="24"/>
        </w:rPr>
        <w:t>牵头起草单位为：</w:t>
      </w:r>
      <w:r>
        <w:rPr>
          <w:rFonts w:asciiTheme="majorEastAsia" w:eastAsiaTheme="majorEastAsia" w:hAnsiTheme="majorEastAsia" w:cs="宋体" w:hint="eastAsia"/>
          <w:color w:val="000000" w:themeColor="text1"/>
          <w:kern w:val="0"/>
          <w:sz w:val="24"/>
          <w:lang w:bidi="ar"/>
        </w:rPr>
        <w:t>杭州明瑞智能检测科技有限公司，计划完成年限为2025年。</w:t>
      </w:r>
    </w:p>
    <w:p w14:paraId="0D36DEAA"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  主要起草工作过程</w:t>
      </w:r>
    </w:p>
    <w:p w14:paraId="0D08E8E4" w14:textId="77777777" w:rsidR="00094034" w:rsidRDefault="00000000">
      <w:pPr>
        <w:pStyle w:val="3"/>
        <w:numPr>
          <w:ilvl w:val="2"/>
          <w:numId w:val="0"/>
        </w:numPr>
        <w:spacing w:before="156" w:after="156" w:line="360" w:lineRule="auto"/>
        <w:rPr>
          <w:rFonts w:asciiTheme="majorEastAsia" w:eastAsiaTheme="majorEastAsia" w:hAnsiTheme="majorEastAsia" w:hint="eastAsia"/>
          <w:sz w:val="24"/>
          <w:szCs w:val="24"/>
        </w:rPr>
      </w:pPr>
      <w:bookmarkStart w:id="0" w:name="_Toc30931"/>
      <w:bookmarkStart w:id="1" w:name="_Toc163724748"/>
      <w:r>
        <w:rPr>
          <w:rFonts w:asciiTheme="majorEastAsia" w:eastAsiaTheme="majorEastAsia" w:hAnsiTheme="majorEastAsia" w:cs="黑体" w:hint="eastAsia"/>
          <w:sz w:val="24"/>
          <w:szCs w:val="24"/>
        </w:rPr>
        <w:t xml:space="preserve">2.1 </w:t>
      </w:r>
      <w:r>
        <w:rPr>
          <w:rFonts w:asciiTheme="majorEastAsia" w:eastAsiaTheme="majorEastAsia" w:hAnsiTheme="majorEastAsia"/>
          <w:sz w:val="24"/>
          <w:szCs w:val="24"/>
        </w:rPr>
        <w:t>成立标准编制组</w:t>
      </w:r>
      <w:bookmarkEnd w:id="0"/>
      <w:bookmarkEnd w:id="1"/>
    </w:p>
    <w:p w14:paraId="29DB3118" w14:textId="77777777" w:rsidR="00094034" w:rsidRDefault="00000000">
      <w:pPr>
        <w:pStyle w:val="p0"/>
        <w:adjustRightInd w:val="0"/>
        <w:snapToGrid w:val="0"/>
        <w:spacing w:line="360" w:lineRule="auto"/>
        <w:ind w:firstLineChars="200" w:firstLine="480"/>
        <w:rPr>
          <w:rFonts w:asciiTheme="majorEastAsia" w:eastAsiaTheme="majorEastAsia" w:hAnsiTheme="majorEastAsia" w:cs="宋体" w:hint="eastAsia"/>
          <w:kern w:val="2"/>
          <w:sz w:val="24"/>
          <w:szCs w:val="24"/>
        </w:rPr>
      </w:pPr>
      <w:r>
        <w:rPr>
          <w:rFonts w:asciiTheme="majorEastAsia" w:eastAsiaTheme="majorEastAsia" w:hAnsiTheme="majorEastAsia" w:cs="宋体" w:hint="eastAsia"/>
          <w:kern w:val="2"/>
          <w:sz w:val="24"/>
          <w:szCs w:val="24"/>
        </w:rPr>
        <w:t>为了保证标准的科学性、适用性、实用性和可操作性，组建了以生产、科研与用户为一体的标准起草小组。</w:t>
      </w:r>
    </w:p>
    <w:p w14:paraId="58F73D62" w14:textId="77777777" w:rsidR="00094034" w:rsidRDefault="00000000">
      <w:pPr>
        <w:widowControl/>
        <w:spacing w:line="360" w:lineRule="auto"/>
        <w:ind w:firstLineChars="200" w:firstLine="480"/>
        <w:jc w:val="left"/>
        <w:rPr>
          <w:rFonts w:asciiTheme="majorEastAsia" w:eastAsiaTheme="majorEastAsia" w:hAnsiTheme="majorEastAsia" w:cs="宋体" w:hint="eastAsia"/>
          <w:color w:val="000000" w:themeColor="text1"/>
          <w:kern w:val="0"/>
          <w:sz w:val="24"/>
          <w:lang w:bidi="ar"/>
        </w:rPr>
      </w:pPr>
      <w:r>
        <w:rPr>
          <w:rFonts w:asciiTheme="majorEastAsia" w:eastAsiaTheme="majorEastAsia" w:hAnsiTheme="majorEastAsia" w:cs="宋体" w:hint="eastAsia"/>
          <w:sz w:val="24"/>
        </w:rPr>
        <w:t>项目下达后，标委会秘书处2024年1月组织成立了标准编制组。</w:t>
      </w:r>
      <w:r>
        <w:rPr>
          <w:rFonts w:asciiTheme="majorEastAsia" w:eastAsiaTheme="majorEastAsia" w:hAnsiTheme="majorEastAsia"/>
          <w:sz w:val="24"/>
        </w:rPr>
        <w:t>参加单位有：</w:t>
      </w:r>
      <w:bookmarkStart w:id="2" w:name="_Hlk201670549"/>
      <w:r>
        <w:rPr>
          <w:rFonts w:asciiTheme="majorEastAsia" w:eastAsiaTheme="majorEastAsia" w:hAnsiTheme="majorEastAsia" w:cs="宋体" w:hint="eastAsia"/>
          <w:color w:val="000000"/>
          <w:kern w:val="0"/>
          <w:sz w:val="24"/>
          <w:lang w:bidi="ar"/>
        </w:rPr>
        <w:t>杭州明瑞智能检测科技有限公司</w:t>
      </w:r>
      <w:bookmarkEnd w:id="2"/>
      <w:r>
        <w:rPr>
          <w:rFonts w:asciiTheme="majorEastAsia" w:eastAsiaTheme="majorEastAsia" w:hAnsiTheme="majorEastAsia" w:cs="宋体" w:hint="eastAsia"/>
          <w:color w:val="000000"/>
          <w:kern w:val="0"/>
          <w:sz w:val="24"/>
          <w:lang w:bidi="ar"/>
        </w:rPr>
        <w:t>、中国计量大学、</w:t>
      </w:r>
      <w:r>
        <w:rPr>
          <w:rFonts w:asciiTheme="majorEastAsia" w:eastAsiaTheme="majorEastAsia" w:hAnsiTheme="majorEastAsia" w:cs="宋体" w:hint="eastAsia"/>
          <w:sz w:val="24"/>
        </w:rPr>
        <w:t>浙江省质量科学研究院、</w:t>
      </w:r>
      <w:r>
        <w:rPr>
          <w:rFonts w:asciiTheme="majorEastAsia" w:eastAsiaTheme="majorEastAsia" w:hAnsiTheme="majorEastAsia" w:cs="宋体"/>
          <w:sz w:val="24"/>
        </w:rPr>
        <w:t>北京</w:t>
      </w:r>
      <w:r>
        <w:rPr>
          <w:rFonts w:asciiTheme="majorEastAsia" w:eastAsiaTheme="majorEastAsia" w:hAnsiTheme="majorEastAsia"/>
          <w:sz w:val="24"/>
        </w:rPr>
        <w:t>市计量检测科学研究院、</w:t>
      </w:r>
      <w:r>
        <w:rPr>
          <w:rFonts w:asciiTheme="majorEastAsia" w:eastAsiaTheme="majorEastAsia" w:hAnsiTheme="majorEastAsia" w:cs="宋体" w:hint="eastAsia"/>
          <w:color w:val="000000"/>
          <w:kern w:val="0"/>
          <w:sz w:val="24"/>
          <w:lang w:bidi="ar"/>
        </w:rPr>
        <w:t>宁波计量科学研究院（宁波新材料检验检测中心）、浙江华发智慧科技有限公司、青岛明华电子仪器有限公司、</w:t>
      </w:r>
      <w:proofErr w:type="gramStart"/>
      <w:r>
        <w:rPr>
          <w:rFonts w:asciiTheme="majorEastAsia" w:eastAsiaTheme="majorEastAsia" w:hAnsiTheme="majorEastAsia" w:cs="宋体" w:hint="eastAsia"/>
          <w:color w:val="000000"/>
          <w:kern w:val="0"/>
          <w:sz w:val="24"/>
          <w:lang w:bidi="ar"/>
        </w:rPr>
        <w:t>衡智远</w:t>
      </w:r>
      <w:proofErr w:type="gramEnd"/>
      <w:r>
        <w:rPr>
          <w:rFonts w:asciiTheme="majorEastAsia" w:eastAsiaTheme="majorEastAsia" w:hAnsiTheme="majorEastAsia" w:cs="宋体" w:hint="eastAsia"/>
          <w:color w:val="000000"/>
          <w:kern w:val="0"/>
          <w:sz w:val="24"/>
          <w:lang w:bidi="ar"/>
        </w:rPr>
        <w:t>科技（深圳）有限公司、台州市计量技术研究院、机械工业分析仪器产品质量监督检测（北京）有限责任公司、重庆川仪分析仪器有限公司、</w:t>
      </w:r>
      <w:r>
        <w:rPr>
          <w:rFonts w:asciiTheme="majorEastAsia" w:eastAsiaTheme="majorEastAsia" w:hAnsiTheme="majorEastAsia" w:cs="宋体" w:hint="eastAsia"/>
          <w:color w:val="000000" w:themeColor="text1"/>
          <w:kern w:val="0"/>
          <w:sz w:val="24"/>
          <w:lang w:bidi="ar"/>
        </w:rPr>
        <w:t>武汉天虹环保产业股份有限公司、</w:t>
      </w:r>
      <w:bookmarkStart w:id="3" w:name="_Hlk201671159"/>
      <w:r>
        <w:rPr>
          <w:rFonts w:asciiTheme="majorEastAsia" w:eastAsiaTheme="majorEastAsia" w:hAnsiTheme="majorEastAsia" w:hint="eastAsia"/>
          <w:color w:val="000000" w:themeColor="text1"/>
          <w:sz w:val="24"/>
        </w:rPr>
        <w:t>杭州肥牛信息科技有限公司</w:t>
      </w:r>
      <w:bookmarkEnd w:id="3"/>
      <w:r>
        <w:rPr>
          <w:rFonts w:asciiTheme="majorEastAsia" w:eastAsiaTheme="majorEastAsia" w:hAnsiTheme="majorEastAsia" w:hint="eastAsia"/>
          <w:color w:val="000000" w:themeColor="text1"/>
          <w:sz w:val="24"/>
        </w:rPr>
        <w:t>等</w:t>
      </w:r>
      <w:r>
        <w:rPr>
          <w:rFonts w:asciiTheme="majorEastAsia" w:eastAsiaTheme="majorEastAsia" w:hAnsiTheme="majorEastAsia" w:cs="宋体" w:hint="eastAsia"/>
          <w:color w:val="000000" w:themeColor="text1"/>
          <w:kern w:val="0"/>
          <w:sz w:val="24"/>
          <w:lang w:bidi="ar"/>
        </w:rPr>
        <w:t>。</w:t>
      </w:r>
    </w:p>
    <w:p w14:paraId="1FFAC660" w14:textId="77777777" w:rsidR="00094034" w:rsidRDefault="00000000">
      <w:pPr>
        <w:pStyle w:val="3"/>
        <w:numPr>
          <w:ilvl w:val="2"/>
          <w:numId w:val="0"/>
        </w:numPr>
        <w:spacing w:before="156" w:after="156" w:line="360" w:lineRule="auto"/>
        <w:rPr>
          <w:rFonts w:asciiTheme="majorEastAsia" w:eastAsiaTheme="majorEastAsia" w:hAnsiTheme="majorEastAsia" w:hint="eastAsia"/>
          <w:sz w:val="24"/>
          <w:szCs w:val="24"/>
        </w:rPr>
      </w:pPr>
      <w:r>
        <w:rPr>
          <w:rFonts w:asciiTheme="majorEastAsia" w:eastAsiaTheme="majorEastAsia" w:hAnsiTheme="majorEastAsia" w:cs="黑体" w:hint="eastAsia"/>
          <w:sz w:val="24"/>
          <w:szCs w:val="24"/>
        </w:rPr>
        <w:t>2.2</w:t>
      </w:r>
      <w:bookmarkStart w:id="4" w:name="_Toc163724749"/>
      <w:r>
        <w:rPr>
          <w:rFonts w:asciiTheme="majorEastAsia" w:eastAsiaTheme="majorEastAsia" w:hAnsiTheme="majorEastAsia"/>
          <w:sz w:val="24"/>
          <w:szCs w:val="24"/>
        </w:rPr>
        <w:t>标准前的调研工作</w:t>
      </w:r>
      <w:bookmarkEnd w:id="4"/>
    </w:p>
    <w:p w14:paraId="72990852"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编制组开展了油烟颗粒物排放检测、在线监测、污染治理、监管执法、市场发展等方面的调研，重点调研了油烟颗粒物在线监测仪的技术要求，经多次讨论，形成了《基于光散射法的油烟颗粒物在线监测仪》（讨论稿）</w:t>
      </w:r>
    </w:p>
    <w:p w14:paraId="73E11B83"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具体工作过程如下：</w:t>
      </w:r>
    </w:p>
    <w:p w14:paraId="1DE955D2"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lastRenderedPageBreak/>
        <w:t>（1）资料收集和整理（2023年10月-2024年1月）</w:t>
      </w:r>
    </w:p>
    <w:p w14:paraId="1B8E1C0D"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包括餐饮油烟颗粒物管</w:t>
      </w:r>
      <w:proofErr w:type="gramStart"/>
      <w:r>
        <w:rPr>
          <w:rFonts w:asciiTheme="majorEastAsia" w:eastAsiaTheme="majorEastAsia" w:hAnsiTheme="majorEastAsia" w:cs="宋体" w:hint="eastAsia"/>
          <w:sz w:val="24"/>
        </w:rPr>
        <w:t>控立法</w:t>
      </w:r>
      <w:proofErr w:type="gramEnd"/>
      <w:r>
        <w:rPr>
          <w:rFonts w:asciiTheme="majorEastAsia" w:eastAsiaTheme="majorEastAsia" w:hAnsiTheme="majorEastAsia" w:cs="宋体" w:hint="eastAsia"/>
          <w:sz w:val="24"/>
        </w:rPr>
        <w:t>和政策等有关制度文件，排放标准、监测（检测）方法标准、在线监测标准、计量标准等有关技术规范资料，管理部门在线监测管理、行业和市场发展等现状和趋势等有关信息，研究成果、发表论文等有关文献。</w:t>
      </w:r>
    </w:p>
    <w:p w14:paraId="35D6F27E"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（2）实地调研和咨询（2024年1月-8月）</w:t>
      </w:r>
    </w:p>
    <w:p w14:paraId="1221A876"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走访了净化设备、在线仪器、信息平台等生产厂家和供应单位，了解技术、产品和供应情况。走访了餐饮服务单位，了解净化处理、在线监测等实际情况。走访了生态环境、城市管理、市场监管、街道（乡镇）等政府部门，了解监管应用现状和需求。咨询了环境检测和计量等方面的专家学者，学习交流在线监测技术规范和标准。</w:t>
      </w:r>
    </w:p>
    <w:p w14:paraId="304884CB"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（3）现场测试和验证（2024年3月-12月）</w:t>
      </w:r>
    </w:p>
    <w:p w14:paraId="691B35FD"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开发校准装置，研制了油烟发生测试系统。多批次开展了油烟、颗粒物在线监测数据和实验室手工分析数据的实验、比对和分析，验证在线监测仪和参考监测仪的性能。利用参考监测</w:t>
      </w:r>
      <w:proofErr w:type="gramStart"/>
      <w:r>
        <w:rPr>
          <w:rFonts w:asciiTheme="majorEastAsia" w:eastAsiaTheme="majorEastAsia" w:hAnsiTheme="majorEastAsia" w:cs="宋体" w:hint="eastAsia"/>
          <w:sz w:val="24"/>
        </w:rPr>
        <w:t>仪开展</w:t>
      </w:r>
      <w:proofErr w:type="gramEnd"/>
      <w:r>
        <w:rPr>
          <w:rFonts w:asciiTheme="majorEastAsia" w:eastAsiaTheme="majorEastAsia" w:hAnsiTheme="majorEastAsia" w:cs="宋体" w:hint="eastAsia"/>
          <w:sz w:val="24"/>
        </w:rPr>
        <w:t>现场在线监测设备校验，评估在线数据质量。</w:t>
      </w:r>
    </w:p>
    <w:p w14:paraId="53F3075F"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（4）标准起草和编制（2024年12月-2025年3月）</w:t>
      </w:r>
    </w:p>
    <w:p w14:paraId="2D6EA6E6"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编制组在调研和实验的基础上起草了标准，经多次讨论修改，形成了标准文本和编制说明讨论稿。</w:t>
      </w:r>
    </w:p>
    <w:p w14:paraId="090581CD" w14:textId="77777777" w:rsidR="00094034" w:rsidRDefault="00000000">
      <w:pPr>
        <w:pStyle w:val="3"/>
        <w:numPr>
          <w:ilvl w:val="2"/>
          <w:numId w:val="0"/>
        </w:numPr>
        <w:spacing w:before="156" w:after="156"/>
        <w:rPr>
          <w:rFonts w:asciiTheme="majorEastAsia" w:eastAsiaTheme="majorEastAsia" w:hAnsiTheme="majorEastAsia" w:cs="黑体" w:hint="eastAsia"/>
          <w:sz w:val="24"/>
          <w:szCs w:val="24"/>
        </w:rPr>
      </w:pPr>
      <w:bookmarkStart w:id="5" w:name="_Toc20019"/>
      <w:bookmarkStart w:id="6" w:name="_Toc163724750"/>
      <w:bookmarkStart w:id="7" w:name="_Toc58844776"/>
      <w:r>
        <w:rPr>
          <w:rFonts w:asciiTheme="majorEastAsia" w:eastAsiaTheme="majorEastAsia" w:hAnsiTheme="majorEastAsia" w:cs="黑体" w:hint="eastAsia"/>
          <w:sz w:val="24"/>
          <w:szCs w:val="24"/>
        </w:rPr>
        <w:t>2.3 起草阶段</w:t>
      </w:r>
      <w:bookmarkEnd w:id="5"/>
      <w:bookmarkEnd w:id="6"/>
      <w:bookmarkEnd w:id="7"/>
    </w:p>
    <w:p w14:paraId="33514A73" w14:textId="77777777" w:rsidR="00094034" w:rsidRDefault="00000000">
      <w:pPr>
        <w:widowControl/>
        <w:spacing w:line="360" w:lineRule="auto"/>
        <w:ind w:firstLineChars="200" w:firstLine="480"/>
        <w:jc w:val="left"/>
        <w:rPr>
          <w:rFonts w:asciiTheme="majorEastAsia" w:eastAsiaTheme="majorEastAsia" w:hAnsiTheme="majorEastAsia" w:cs="宋体" w:hint="eastAsia"/>
          <w:color w:val="000000"/>
          <w:kern w:val="0"/>
          <w:sz w:val="24"/>
          <w:lang w:bidi="ar"/>
        </w:rPr>
      </w:pPr>
      <w:r>
        <w:rPr>
          <w:rFonts w:asciiTheme="majorEastAsia" w:eastAsiaTheme="majorEastAsia" w:hAnsiTheme="majorEastAsia" w:hint="eastAsia"/>
          <w:sz w:val="24"/>
        </w:rPr>
        <w:t>2025年3月19日标委会秘书处在浙江省杭州市临平区组织召开了工作组一次会议，共有18名专家参会，会议对编制说明及标准正文进行了细致讨论，重新定义了油烟、修改设定流速次数，删除了风速影响、光线影响试验指标，删除了运行和维护、增加附录、明确颗粒物和油烟的溯源方法等。</w:t>
      </w:r>
      <w:r>
        <w:rPr>
          <w:rFonts w:asciiTheme="majorEastAsia" w:eastAsiaTheme="majorEastAsia" w:hAnsiTheme="majorEastAsia" w:cs="宋体" w:hint="eastAsia"/>
          <w:color w:val="000000"/>
          <w:kern w:val="0"/>
          <w:sz w:val="24"/>
          <w:lang w:bidi="ar"/>
        </w:rPr>
        <w:t>经讨论后决定，由杭州明瑞智能检测科技有限公司按照会议纪要对标准文本、编制说明进行修改，</w:t>
      </w:r>
      <w:r>
        <w:rPr>
          <w:rFonts w:asciiTheme="majorEastAsia" w:eastAsiaTheme="majorEastAsia" w:hAnsiTheme="majorEastAsia" w:hint="eastAsia"/>
          <w:sz w:val="24"/>
        </w:rPr>
        <w:t>并且计划于4月3日之前完成修改并给出试验验证方案，4月30日之前</w:t>
      </w:r>
      <w:r>
        <w:rPr>
          <w:rFonts w:asciiTheme="majorEastAsia" w:eastAsiaTheme="majorEastAsia" w:hAnsiTheme="majorEastAsia" w:cs="宋体" w:hint="eastAsia"/>
          <w:color w:val="000000"/>
          <w:kern w:val="0"/>
          <w:sz w:val="24"/>
          <w:lang w:bidi="ar"/>
        </w:rPr>
        <w:t>由杭州明瑞智能检测科技有限公司、青岛明华电子仪器有限公司、</w:t>
      </w:r>
      <w:proofErr w:type="gramStart"/>
      <w:r>
        <w:rPr>
          <w:rFonts w:asciiTheme="majorEastAsia" w:eastAsiaTheme="majorEastAsia" w:hAnsiTheme="majorEastAsia" w:cs="宋体" w:hint="eastAsia"/>
          <w:color w:val="000000"/>
          <w:kern w:val="0"/>
          <w:sz w:val="24"/>
          <w:lang w:bidi="ar"/>
        </w:rPr>
        <w:t>衡智远</w:t>
      </w:r>
      <w:proofErr w:type="gramEnd"/>
      <w:r>
        <w:rPr>
          <w:rFonts w:asciiTheme="majorEastAsia" w:eastAsiaTheme="majorEastAsia" w:hAnsiTheme="majorEastAsia" w:cs="宋体" w:hint="eastAsia"/>
          <w:color w:val="000000"/>
          <w:kern w:val="0"/>
          <w:sz w:val="24"/>
          <w:lang w:bidi="ar"/>
        </w:rPr>
        <w:t>科技（深圳）有限公司、武汉天虹环保产业股份有限公司、</w:t>
      </w:r>
      <w:r>
        <w:rPr>
          <w:rFonts w:asciiTheme="majorEastAsia" w:eastAsiaTheme="majorEastAsia" w:hAnsiTheme="majorEastAsia" w:hint="eastAsia"/>
          <w:color w:val="000000" w:themeColor="text1"/>
          <w:sz w:val="24"/>
        </w:rPr>
        <w:t>杭州肥牛信息科技有限公司</w:t>
      </w:r>
      <w:r>
        <w:rPr>
          <w:rFonts w:asciiTheme="majorEastAsia" w:eastAsiaTheme="majorEastAsia" w:hAnsiTheme="majorEastAsia" w:cs="宋体" w:hint="eastAsia"/>
          <w:color w:val="000000"/>
          <w:kern w:val="0"/>
          <w:sz w:val="24"/>
          <w:lang w:bidi="ar"/>
        </w:rPr>
        <w:t>等5家单位在浙江省质量科学研究院共同进行试验验证。4月1日前修改完成标准文本和编制说明，</w:t>
      </w:r>
    </w:p>
    <w:p w14:paraId="50A1E15D" w14:textId="77777777" w:rsidR="00094034" w:rsidRDefault="00000000">
      <w:pPr>
        <w:widowControl/>
        <w:spacing w:line="360" w:lineRule="auto"/>
        <w:ind w:firstLineChars="200" w:firstLine="480"/>
        <w:jc w:val="left"/>
        <w:rPr>
          <w:rFonts w:asciiTheme="majorEastAsia" w:eastAsiaTheme="majorEastAsia" w:hAnsiTheme="majorEastAsia" w:cs="宋体" w:hint="eastAsia"/>
          <w:color w:val="000000"/>
          <w:kern w:val="0"/>
          <w:sz w:val="24"/>
          <w:lang w:bidi="ar"/>
        </w:rPr>
      </w:pPr>
      <w:r>
        <w:rPr>
          <w:rFonts w:asciiTheme="majorEastAsia" w:eastAsiaTheme="majorEastAsia" w:hAnsiTheme="majorEastAsia" w:cs="宋体" w:hint="eastAsia"/>
          <w:color w:val="000000"/>
          <w:kern w:val="0"/>
          <w:sz w:val="24"/>
          <w:lang w:bidi="ar"/>
        </w:rPr>
        <w:lastRenderedPageBreak/>
        <w:t>2025年5月12-13日，按照一次工作组会议安排，杭州明瑞智能检测科技有限公司、青岛明华电子仪器有限公司、</w:t>
      </w:r>
      <w:proofErr w:type="gramStart"/>
      <w:r>
        <w:rPr>
          <w:rFonts w:asciiTheme="majorEastAsia" w:eastAsiaTheme="majorEastAsia" w:hAnsiTheme="majorEastAsia" w:cs="宋体" w:hint="eastAsia"/>
          <w:color w:val="000000"/>
          <w:kern w:val="0"/>
          <w:sz w:val="24"/>
          <w:lang w:bidi="ar"/>
        </w:rPr>
        <w:t>衡智远</w:t>
      </w:r>
      <w:proofErr w:type="gramEnd"/>
      <w:r>
        <w:rPr>
          <w:rFonts w:asciiTheme="majorEastAsia" w:eastAsiaTheme="majorEastAsia" w:hAnsiTheme="majorEastAsia" w:cs="宋体" w:hint="eastAsia"/>
          <w:color w:val="000000"/>
          <w:kern w:val="0"/>
          <w:sz w:val="24"/>
          <w:lang w:bidi="ar"/>
        </w:rPr>
        <w:t>科技（深圳）有限公司、武汉天虹环保产业股份有限公司、</w:t>
      </w:r>
      <w:r>
        <w:rPr>
          <w:rFonts w:asciiTheme="majorEastAsia" w:eastAsiaTheme="majorEastAsia" w:hAnsiTheme="majorEastAsia" w:hint="eastAsia"/>
          <w:color w:val="000000" w:themeColor="text1"/>
          <w:sz w:val="24"/>
        </w:rPr>
        <w:t>杭州肥牛信息科技有限公司等</w:t>
      </w:r>
      <w:r>
        <w:rPr>
          <w:rFonts w:asciiTheme="majorEastAsia" w:eastAsiaTheme="majorEastAsia" w:hAnsiTheme="majorEastAsia" w:cs="宋体" w:hint="eastAsia"/>
          <w:color w:val="000000"/>
          <w:kern w:val="0"/>
          <w:sz w:val="24"/>
          <w:lang w:bidi="ar"/>
        </w:rPr>
        <w:t>5家携带各自两台仪器在杭州明瑞智能检测科技有限公司实验室进行了性能测试方法验证试验。试验方案和数据采集和结果分析比对由浙江省质量科学研究院李海洋博士指导并实施。</w:t>
      </w:r>
    </w:p>
    <w:p w14:paraId="6D4F807A" w14:textId="77777777" w:rsidR="00094034" w:rsidRDefault="00000000">
      <w:pPr>
        <w:widowControl/>
        <w:spacing w:line="360" w:lineRule="auto"/>
        <w:jc w:val="left"/>
        <w:rPr>
          <w:rFonts w:asciiTheme="majorEastAsia" w:eastAsiaTheme="majorEastAsia" w:hAnsiTheme="majorEastAsia" w:cs="黑体" w:hint="eastAsia"/>
          <w:sz w:val="24"/>
        </w:rPr>
      </w:pPr>
      <w:r>
        <w:rPr>
          <w:rFonts w:asciiTheme="majorEastAsia" w:eastAsiaTheme="majorEastAsia" w:hAnsiTheme="majorEastAsia" w:cs="黑体" w:hint="eastAsia"/>
          <w:sz w:val="24"/>
        </w:rPr>
        <w:t>2.4 征求意见阶段</w:t>
      </w:r>
    </w:p>
    <w:p w14:paraId="1E00C467" w14:textId="77777777" w:rsidR="00094034" w:rsidRDefault="00000000">
      <w:pPr>
        <w:widowControl/>
        <w:spacing w:line="360" w:lineRule="auto"/>
        <w:jc w:val="left"/>
        <w:rPr>
          <w:rFonts w:asciiTheme="majorEastAsia" w:eastAsiaTheme="majorEastAsia" w:hAnsiTheme="majorEastAsia" w:cs="黑体" w:hint="eastAsia"/>
          <w:sz w:val="24"/>
        </w:rPr>
      </w:pPr>
      <w:r>
        <w:rPr>
          <w:rFonts w:asciiTheme="majorEastAsia" w:eastAsiaTheme="majorEastAsia" w:hAnsiTheme="majorEastAsia" w:cs="黑体" w:hint="eastAsia"/>
          <w:sz w:val="24"/>
        </w:rPr>
        <w:t xml:space="preserve">  2025年9月，标准牵头单位</w:t>
      </w:r>
      <w:r>
        <w:rPr>
          <w:rFonts w:asciiTheme="majorEastAsia" w:eastAsiaTheme="majorEastAsia" w:hAnsiTheme="majorEastAsia" w:cs="宋体" w:hint="eastAsia"/>
          <w:color w:val="000000"/>
          <w:kern w:val="0"/>
          <w:sz w:val="24"/>
          <w:lang w:bidi="ar"/>
        </w:rPr>
        <w:t>杭州明瑞智能检测科技有限公司</w:t>
      </w:r>
      <w:r>
        <w:rPr>
          <w:rFonts w:asciiTheme="majorEastAsia" w:eastAsiaTheme="majorEastAsia" w:hAnsiTheme="majorEastAsia" w:cs="黑体" w:hint="eastAsia"/>
          <w:sz w:val="24"/>
        </w:rPr>
        <w:t>提交了标准征求意见稿及其编制说明，标委会秘书处收到后经过校对整理完善形成了标准征求意见稿发出稿发到社会和全体标委会委员广泛征求意见。</w:t>
      </w:r>
    </w:p>
    <w:p w14:paraId="1E7B7578" w14:textId="77777777" w:rsidR="00094034" w:rsidRDefault="00000000">
      <w:pPr>
        <w:pStyle w:val="2"/>
        <w:numPr>
          <w:ilvl w:val="1"/>
          <w:numId w:val="0"/>
        </w:numPr>
        <w:spacing w:before="156" w:after="156"/>
        <w:rPr>
          <w:rFonts w:asciiTheme="majorEastAsia" w:eastAsiaTheme="majorEastAsia" w:hAnsiTheme="majorEastAsia" w:cs="黑体" w:hint="eastAsia"/>
          <w:sz w:val="24"/>
          <w:szCs w:val="24"/>
        </w:rPr>
      </w:pPr>
      <w:bookmarkStart w:id="8" w:name="_Toc163724753"/>
      <w:r>
        <w:rPr>
          <w:rFonts w:asciiTheme="majorEastAsia" w:eastAsiaTheme="majorEastAsia" w:hAnsiTheme="majorEastAsia" w:cs="黑体" w:hint="eastAsia"/>
          <w:sz w:val="24"/>
          <w:szCs w:val="24"/>
        </w:rPr>
        <w:t>3 主要起草单位及主要起草人</w:t>
      </w:r>
      <w:bookmarkEnd w:id="8"/>
    </w:p>
    <w:p w14:paraId="01562C1A" w14:textId="77777777" w:rsidR="00094034" w:rsidRDefault="00094034">
      <w:pPr>
        <w:ind w:firstLine="560"/>
        <w:rPr>
          <w:rFonts w:asciiTheme="majorEastAsia" w:eastAsiaTheme="majorEastAsia" w:hAnsiTheme="majorEastAsia" w:cs="宋体" w:hint="eastAsia"/>
          <w:sz w:val="24"/>
        </w:rPr>
      </w:pPr>
    </w:p>
    <w:p w14:paraId="61E69B10" w14:textId="77777777" w:rsidR="00094034" w:rsidRDefault="00094034">
      <w:pPr>
        <w:ind w:firstLine="560"/>
        <w:rPr>
          <w:rFonts w:asciiTheme="majorEastAsia" w:eastAsiaTheme="majorEastAsia" w:hAnsiTheme="majorEastAsia" w:cs="宋体" w:hint="eastAsia"/>
          <w:sz w:val="24"/>
        </w:rPr>
      </w:pPr>
    </w:p>
    <w:p w14:paraId="66D7A8CD" w14:textId="77777777" w:rsidR="00094034" w:rsidRDefault="00000000">
      <w:pPr>
        <w:spacing w:line="360" w:lineRule="auto"/>
        <w:rPr>
          <w:rFonts w:asciiTheme="majorEastAsia" w:eastAsiaTheme="majorEastAsia" w:hAnsiTheme="majorEastAsia" w:cs="黑体" w:hint="eastAsia"/>
          <w:bCs/>
          <w:kern w:val="0"/>
          <w:sz w:val="24"/>
        </w:rPr>
      </w:pPr>
      <w:bookmarkStart w:id="9" w:name="_Toc163724754"/>
      <w:bookmarkStart w:id="10" w:name="_Toc22880"/>
      <w:r>
        <w:rPr>
          <w:rFonts w:asciiTheme="majorEastAsia" w:eastAsiaTheme="majorEastAsia" w:hAnsiTheme="majorEastAsia" w:cs="黑体" w:hint="eastAsia"/>
          <w:bCs/>
          <w:kern w:val="0"/>
          <w:sz w:val="24"/>
        </w:rPr>
        <w:t>二、编制原则及主要内容</w:t>
      </w:r>
      <w:bookmarkEnd w:id="9"/>
      <w:bookmarkEnd w:id="10"/>
    </w:p>
    <w:p w14:paraId="7A73ACAA"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1  必要性</w:t>
      </w:r>
    </w:p>
    <w:p w14:paraId="42B4010D" w14:textId="77777777" w:rsidR="00094034" w:rsidRDefault="00000000">
      <w:pPr>
        <w:spacing w:line="360" w:lineRule="auto"/>
        <w:rPr>
          <w:rFonts w:asciiTheme="majorEastAsia" w:eastAsiaTheme="majorEastAsia" w:hAnsiTheme="majorEastAsia" w:cs="宋体" w:hint="eastAsia"/>
          <w:sz w:val="24"/>
        </w:rPr>
      </w:pPr>
      <w:r>
        <w:rPr>
          <w:rFonts w:asciiTheme="majorEastAsia" w:eastAsiaTheme="majorEastAsia" w:hAnsiTheme="majorEastAsia" w:cs="宋体" w:hint="eastAsia"/>
          <w:b/>
          <w:bCs/>
          <w:sz w:val="24"/>
        </w:rPr>
        <w:t xml:space="preserve">1.1 </w:t>
      </w:r>
      <w:r>
        <w:rPr>
          <w:rFonts w:asciiTheme="majorEastAsia" w:eastAsiaTheme="majorEastAsia" w:hAnsiTheme="majorEastAsia" w:cs="黑体" w:hint="eastAsia"/>
          <w:sz w:val="24"/>
        </w:rPr>
        <w:t>落实油烟在线监管的需要</w:t>
      </w:r>
    </w:p>
    <w:p w14:paraId="0E991CFA"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国务院</w:t>
      </w:r>
      <w:r>
        <w:rPr>
          <w:rFonts w:asciiTheme="majorEastAsia" w:eastAsiaTheme="majorEastAsia" w:hAnsiTheme="majorEastAsia" w:cs="宋体"/>
          <w:sz w:val="24"/>
        </w:rPr>
        <w:t>《空气质量持续改善行动计划》</w:t>
      </w:r>
      <w:r>
        <w:rPr>
          <w:rFonts w:asciiTheme="majorEastAsia" w:eastAsiaTheme="majorEastAsia" w:hAnsiTheme="majorEastAsia" w:cs="宋体" w:hint="eastAsia"/>
          <w:sz w:val="24"/>
        </w:rPr>
        <w:t>（</w:t>
      </w:r>
      <w:r>
        <w:rPr>
          <w:rFonts w:asciiTheme="majorEastAsia" w:eastAsiaTheme="majorEastAsia" w:hAnsiTheme="majorEastAsia" w:cs="宋体"/>
          <w:sz w:val="24"/>
        </w:rPr>
        <w:t>国发〔2023〕24号</w:t>
      </w:r>
      <w:r>
        <w:rPr>
          <w:rFonts w:asciiTheme="majorEastAsia" w:eastAsiaTheme="majorEastAsia" w:hAnsiTheme="majorEastAsia" w:cs="宋体" w:hint="eastAsia"/>
          <w:sz w:val="24"/>
        </w:rPr>
        <w:t>）</w:t>
      </w:r>
      <w:r>
        <w:rPr>
          <w:rFonts w:asciiTheme="majorEastAsia" w:eastAsiaTheme="majorEastAsia" w:hAnsiTheme="majorEastAsia" w:cs="宋体"/>
          <w:sz w:val="24"/>
        </w:rPr>
        <w:t>要求“开展餐饮油烟、恶臭异味专项治理。</w:t>
      </w:r>
      <w:r>
        <w:rPr>
          <w:rFonts w:asciiTheme="majorEastAsia" w:eastAsiaTheme="majorEastAsia" w:hAnsiTheme="majorEastAsia" w:cs="宋体" w:hint="eastAsia"/>
          <w:sz w:val="24"/>
        </w:rPr>
        <w:t>……</w:t>
      </w:r>
      <w:r>
        <w:rPr>
          <w:rFonts w:asciiTheme="majorEastAsia" w:eastAsiaTheme="majorEastAsia" w:hAnsiTheme="majorEastAsia" w:cs="宋体"/>
          <w:sz w:val="24"/>
        </w:rPr>
        <w:t>推动有条件的地区实施治理设施第三方运维管理及在线监控。”“拓展非现场监管手段应用。加强污染源自动监测设备运行监管，确保监测数据质量和稳定传输。”据不完全统计，全国已有20地要求实施油烟在线监测（见表1）</w:t>
      </w:r>
      <w:r>
        <w:rPr>
          <w:rFonts w:asciiTheme="majorEastAsia" w:eastAsiaTheme="majorEastAsia" w:hAnsiTheme="majorEastAsia" w:cs="宋体" w:hint="eastAsia"/>
          <w:sz w:val="24"/>
        </w:rPr>
        <w:t>。编制实施本标准是落实油烟在线监测管理政策的内在要求，可以明确在线设备技术要求，保障数据质量。</w:t>
      </w:r>
    </w:p>
    <w:p w14:paraId="22F960B7" w14:textId="77777777" w:rsidR="00094034" w:rsidRDefault="00000000">
      <w:pPr>
        <w:pStyle w:val="a4"/>
      </w:pPr>
      <w:r>
        <w:t>表</w:t>
      </w:r>
      <w:r>
        <w:t xml:space="preserve"> </w:t>
      </w:r>
      <w:r>
        <w:fldChar w:fldCharType="begin"/>
      </w:r>
      <w:r>
        <w:instrText xml:space="preserve"> SEQ </w:instrText>
      </w:r>
      <w:r>
        <w:instrText>表</w:instrText>
      </w:r>
      <w:r>
        <w:instrText xml:space="preserve"> \* ARABIC </w:instrText>
      </w:r>
      <w:r>
        <w:fldChar w:fldCharType="separate"/>
      </w:r>
      <w:r>
        <w:t>1</w:t>
      </w:r>
      <w:r>
        <w:fldChar w:fldCharType="end"/>
      </w:r>
      <w:r>
        <w:rPr>
          <w:rFonts w:hint="eastAsia"/>
        </w:rPr>
        <w:t xml:space="preserve"> </w:t>
      </w:r>
      <w:r>
        <w:rPr>
          <w:rFonts w:hint="eastAsia"/>
        </w:rPr>
        <w:t>餐饮油烟在线监测现行立法汇总表</w:t>
      </w:r>
    </w:p>
    <w:tbl>
      <w:tblPr>
        <w:tblStyle w:val="a9"/>
        <w:tblW w:w="8737" w:type="dxa"/>
        <w:tblLook w:val="04A0" w:firstRow="1" w:lastRow="0" w:firstColumn="1" w:lastColumn="0" w:noHBand="0" w:noVBand="1"/>
      </w:tblPr>
      <w:tblGrid>
        <w:gridCol w:w="790"/>
        <w:gridCol w:w="4731"/>
        <w:gridCol w:w="3216"/>
      </w:tblGrid>
      <w:tr w:rsidR="00094034" w14:paraId="28714709" w14:textId="77777777">
        <w:trPr>
          <w:trHeight w:val="340"/>
        </w:trPr>
        <w:tc>
          <w:tcPr>
            <w:tcW w:w="790" w:type="dxa"/>
            <w:vAlign w:val="center"/>
          </w:tcPr>
          <w:p w14:paraId="5400014E" w14:textId="77777777" w:rsidR="00094034" w:rsidRDefault="00000000">
            <w:pPr>
              <w:jc w:val="center"/>
              <w:rPr>
                <w:rStyle w:val="aa"/>
                <w:rFonts w:asciiTheme="majorEastAsia" w:eastAsiaTheme="majorEastAsia" w:hAnsiTheme="majorEastAsia" w:hint="eastAsia"/>
                <w:szCs w:val="21"/>
              </w:rPr>
            </w:pPr>
            <w:r>
              <w:rPr>
                <w:rStyle w:val="aa"/>
                <w:rFonts w:asciiTheme="majorEastAsia" w:eastAsiaTheme="majorEastAsia" w:hAnsiTheme="majorEastAsia" w:hint="eastAsia"/>
                <w:szCs w:val="21"/>
              </w:rPr>
              <w:t>序号</w:t>
            </w:r>
          </w:p>
        </w:tc>
        <w:tc>
          <w:tcPr>
            <w:tcW w:w="4731" w:type="dxa"/>
            <w:vAlign w:val="center"/>
          </w:tcPr>
          <w:p w14:paraId="1F3EE95A" w14:textId="77777777" w:rsidR="00094034" w:rsidRDefault="00000000">
            <w:pPr>
              <w:jc w:val="center"/>
              <w:rPr>
                <w:rStyle w:val="aa"/>
                <w:rFonts w:asciiTheme="majorEastAsia" w:eastAsiaTheme="majorEastAsia" w:hAnsiTheme="majorEastAsia" w:hint="eastAsia"/>
                <w:szCs w:val="21"/>
              </w:rPr>
            </w:pPr>
            <w:r>
              <w:rPr>
                <w:rStyle w:val="aa"/>
                <w:rFonts w:asciiTheme="majorEastAsia" w:eastAsiaTheme="majorEastAsia" w:hAnsiTheme="majorEastAsia" w:hint="eastAsia"/>
                <w:szCs w:val="21"/>
              </w:rPr>
              <w:t>名称</w:t>
            </w:r>
          </w:p>
        </w:tc>
        <w:tc>
          <w:tcPr>
            <w:tcW w:w="3216" w:type="dxa"/>
            <w:vAlign w:val="center"/>
          </w:tcPr>
          <w:p w14:paraId="4B8AD745" w14:textId="77777777" w:rsidR="00094034" w:rsidRDefault="00000000">
            <w:pPr>
              <w:jc w:val="center"/>
              <w:rPr>
                <w:rStyle w:val="aa"/>
                <w:rFonts w:asciiTheme="majorEastAsia" w:eastAsiaTheme="majorEastAsia" w:hAnsiTheme="majorEastAsia" w:hint="eastAsia"/>
                <w:szCs w:val="21"/>
              </w:rPr>
            </w:pPr>
            <w:r>
              <w:rPr>
                <w:rStyle w:val="aa"/>
                <w:rFonts w:asciiTheme="majorEastAsia" w:eastAsiaTheme="majorEastAsia" w:hAnsiTheme="majorEastAsia" w:hint="eastAsia"/>
                <w:szCs w:val="21"/>
              </w:rPr>
              <w:t>实施对象</w:t>
            </w:r>
          </w:p>
        </w:tc>
      </w:tr>
      <w:tr w:rsidR="00094034" w14:paraId="3C86F01F" w14:textId="77777777">
        <w:trPr>
          <w:trHeight w:val="340"/>
        </w:trPr>
        <w:tc>
          <w:tcPr>
            <w:tcW w:w="790" w:type="dxa"/>
            <w:vAlign w:val="center"/>
          </w:tcPr>
          <w:p w14:paraId="1CBEFD5D"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w:t>
            </w:r>
          </w:p>
        </w:tc>
        <w:tc>
          <w:tcPr>
            <w:tcW w:w="4731" w:type="dxa"/>
            <w:vAlign w:val="center"/>
          </w:tcPr>
          <w:p w14:paraId="660A8B23"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《上海市大气污染防治条例》</w:t>
            </w:r>
          </w:p>
        </w:tc>
        <w:tc>
          <w:tcPr>
            <w:tcW w:w="3216" w:type="dxa"/>
            <w:vAlign w:val="center"/>
          </w:tcPr>
          <w:p w14:paraId="3D8899F4"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饮食服务业的经营者</w:t>
            </w:r>
          </w:p>
        </w:tc>
      </w:tr>
      <w:tr w:rsidR="00094034" w14:paraId="4168E879" w14:textId="77777777">
        <w:trPr>
          <w:trHeight w:val="340"/>
        </w:trPr>
        <w:tc>
          <w:tcPr>
            <w:tcW w:w="790" w:type="dxa"/>
            <w:vAlign w:val="center"/>
          </w:tcPr>
          <w:p w14:paraId="1FB69DDF"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2</w:t>
            </w:r>
          </w:p>
        </w:tc>
        <w:tc>
          <w:tcPr>
            <w:tcW w:w="4731" w:type="dxa"/>
            <w:vAlign w:val="center"/>
          </w:tcPr>
          <w:p w14:paraId="3BD327DD"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《江苏省大气污染防治条例》</w:t>
            </w:r>
          </w:p>
        </w:tc>
        <w:tc>
          <w:tcPr>
            <w:tcW w:w="3216" w:type="dxa"/>
            <w:vAlign w:val="center"/>
          </w:tcPr>
          <w:p w14:paraId="2EAD1770"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营业面积在五百平方米以上的餐饮企业</w:t>
            </w:r>
          </w:p>
        </w:tc>
      </w:tr>
      <w:tr w:rsidR="00094034" w14:paraId="1AE0344D" w14:textId="77777777">
        <w:trPr>
          <w:trHeight w:val="340"/>
        </w:trPr>
        <w:tc>
          <w:tcPr>
            <w:tcW w:w="790" w:type="dxa"/>
            <w:vAlign w:val="center"/>
          </w:tcPr>
          <w:p w14:paraId="70AB3A0D"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3</w:t>
            </w:r>
          </w:p>
        </w:tc>
        <w:tc>
          <w:tcPr>
            <w:tcW w:w="4731" w:type="dxa"/>
            <w:vAlign w:val="center"/>
          </w:tcPr>
          <w:p w14:paraId="73DF0B97"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《广东省大气污染防治条例》</w:t>
            </w:r>
          </w:p>
        </w:tc>
        <w:tc>
          <w:tcPr>
            <w:tcW w:w="3216" w:type="dxa"/>
            <w:vAlign w:val="center"/>
          </w:tcPr>
          <w:p w14:paraId="4ECC9E42"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大中型餐饮场所</w:t>
            </w:r>
          </w:p>
        </w:tc>
      </w:tr>
      <w:tr w:rsidR="00094034" w14:paraId="6C93B881" w14:textId="77777777">
        <w:trPr>
          <w:trHeight w:val="340"/>
        </w:trPr>
        <w:tc>
          <w:tcPr>
            <w:tcW w:w="790" w:type="dxa"/>
            <w:vAlign w:val="center"/>
          </w:tcPr>
          <w:p w14:paraId="26433E26"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4</w:t>
            </w:r>
          </w:p>
        </w:tc>
        <w:tc>
          <w:tcPr>
            <w:tcW w:w="4731" w:type="dxa"/>
            <w:vAlign w:val="center"/>
          </w:tcPr>
          <w:p w14:paraId="7CB3F8EA"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《湖南省大气污染防治条例》</w:t>
            </w:r>
          </w:p>
        </w:tc>
        <w:tc>
          <w:tcPr>
            <w:tcW w:w="3216" w:type="dxa"/>
            <w:vAlign w:val="center"/>
          </w:tcPr>
          <w:p w14:paraId="1F61234B"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大型餐饮服务企业和食堂</w:t>
            </w:r>
          </w:p>
        </w:tc>
      </w:tr>
      <w:tr w:rsidR="00094034" w14:paraId="0247D20B" w14:textId="77777777">
        <w:trPr>
          <w:trHeight w:val="340"/>
        </w:trPr>
        <w:tc>
          <w:tcPr>
            <w:tcW w:w="790" w:type="dxa"/>
            <w:vAlign w:val="center"/>
          </w:tcPr>
          <w:p w14:paraId="7A1A18E8"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5</w:t>
            </w:r>
          </w:p>
        </w:tc>
        <w:tc>
          <w:tcPr>
            <w:tcW w:w="4731" w:type="dxa"/>
            <w:vAlign w:val="center"/>
          </w:tcPr>
          <w:p w14:paraId="563A79C9"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《陕西省大气污染防治条例》</w:t>
            </w:r>
          </w:p>
        </w:tc>
        <w:tc>
          <w:tcPr>
            <w:tcW w:w="3216" w:type="dxa"/>
            <w:vAlign w:val="center"/>
          </w:tcPr>
          <w:p w14:paraId="1C5EF774"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营业面积一千平方米以上的餐饮</w:t>
            </w:r>
          </w:p>
        </w:tc>
      </w:tr>
      <w:tr w:rsidR="00094034" w14:paraId="1607A600" w14:textId="77777777">
        <w:trPr>
          <w:trHeight w:val="340"/>
        </w:trPr>
        <w:tc>
          <w:tcPr>
            <w:tcW w:w="790" w:type="dxa"/>
            <w:vAlign w:val="center"/>
          </w:tcPr>
          <w:p w14:paraId="1851AC9E"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6</w:t>
            </w:r>
          </w:p>
        </w:tc>
        <w:tc>
          <w:tcPr>
            <w:tcW w:w="4731" w:type="dxa"/>
            <w:vAlign w:val="center"/>
          </w:tcPr>
          <w:p w14:paraId="1057DADB"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《河南省餐饮服务业油烟污染防治管理办法》</w:t>
            </w:r>
          </w:p>
        </w:tc>
        <w:tc>
          <w:tcPr>
            <w:tcW w:w="3216" w:type="dxa"/>
            <w:vAlign w:val="center"/>
          </w:tcPr>
          <w:p w14:paraId="1573C98B"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大型餐饮服务单位</w:t>
            </w:r>
          </w:p>
        </w:tc>
      </w:tr>
      <w:tr w:rsidR="00094034" w14:paraId="3FAF923A" w14:textId="77777777">
        <w:trPr>
          <w:trHeight w:val="340"/>
        </w:trPr>
        <w:tc>
          <w:tcPr>
            <w:tcW w:w="790" w:type="dxa"/>
            <w:vAlign w:val="center"/>
          </w:tcPr>
          <w:p w14:paraId="3E7812EF"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7</w:t>
            </w:r>
          </w:p>
        </w:tc>
        <w:tc>
          <w:tcPr>
            <w:tcW w:w="4731" w:type="dxa"/>
            <w:vAlign w:val="center"/>
          </w:tcPr>
          <w:p w14:paraId="1F7B38DD"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《无锡市实施&lt;江苏省大气污染防治条例&gt;办法》</w:t>
            </w:r>
          </w:p>
        </w:tc>
        <w:tc>
          <w:tcPr>
            <w:tcW w:w="3216" w:type="dxa"/>
            <w:vAlign w:val="center"/>
          </w:tcPr>
          <w:p w14:paraId="55412830"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营业面积在五百平方米以上的餐饮企业</w:t>
            </w:r>
          </w:p>
        </w:tc>
      </w:tr>
      <w:tr w:rsidR="00094034" w14:paraId="1A815580" w14:textId="77777777">
        <w:trPr>
          <w:trHeight w:val="340"/>
        </w:trPr>
        <w:tc>
          <w:tcPr>
            <w:tcW w:w="790" w:type="dxa"/>
            <w:vAlign w:val="center"/>
          </w:tcPr>
          <w:p w14:paraId="4D899E46"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8</w:t>
            </w:r>
          </w:p>
        </w:tc>
        <w:tc>
          <w:tcPr>
            <w:tcW w:w="4731" w:type="dxa"/>
            <w:vAlign w:val="center"/>
          </w:tcPr>
          <w:p w14:paraId="3389D027"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《潍坊市大气污染防治条例》</w:t>
            </w:r>
          </w:p>
        </w:tc>
        <w:tc>
          <w:tcPr>
            <w:tcW w:w="3216" w:type="dxa"/>
            <w:vAlign w:val="center"/>
          </w:tcPr>
          <w:p w14:paraId="49033126"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重点油烟排放单位和其他经营者</w:t>
            </w:r>
          </w:p>
        </w:tc>
      </w:tr>
      <w:tr w:rsidR="00094034" w14:paraId="17579AC8" w14:textId="77777777">
        <w:trPr>
          <w:trHeight w:val="340"/>
        </w:trPr>
        <w:tc>
          <w:tcPr>
            <w:tcW w:w="790" w:type="dxa"/>
            <w:vAlign w:val="center"/>
          </w:tcPr>
          <w:p w14:paraId="6EB9C90B"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9</w:t>
            </w:r>
          </w:p>
        </w:tc>
        <w:tc>
          <w:tcPr>
            <w:tcW w:w="4731" w:type="dxa"/>
            <w:vAlign w:val="center"/>
          </w:tcPr>
          <w:p w14:paraId="68629804"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《汉中市大气污染防治条例》</w:t>
            </w:r>
          </w:p>
        </w:tc>
        <w:tc>
          <w:tcPr>
            <w:tcW w:w="3216" w:type="dxa"/>
            <w:vAlign w:val="center"/>
          </w:tcPr>
          <w:p w14:paraId="296EB662"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营业面积在一千平方米以上的餐饮业经营者</w:t>
            </w:r>
          </w:p>
        </w:tc>
      </w:tr>
      <w:tr w:rsidR="00094034" w14:paraId="51B44B97" w14:textId="77777777">
        <w:trPr>
          <w:trHeight w:val="340"/>
        </w:trPr>
        <w:tc>
          <w:tcPr>
            <w:tcW w:w="790" w:type="dxa"/>
            <w:vAlign w:val="center"/>
          </w:tcPr>
          <w:p w14:paraId="16D9A195"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10</w:t>
            </w:r>
          </w:p>
        </w:tc>
        <w:tc>
          <w:tcPr>
            <w:tcW w:w="4731" w:type="dxa"/>
            <w:vAlign w:val="center"/>
          </w:tcPr>
          <w:p w14:paraId="36188A13"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《西宁市大气污染防治条例》</w:t>
            </w:r>
          </w:p>
        </w:tc>
        <w:tc>
          <w:tcPr>
            <w:tcW w:w="3216" w:type="dxa"/>
            <w:vAlign w:val="center"/>
          </w:tcPr>
          <w:p w14:paraId="6675D68A"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饮食服务业的经营者</w:t>
            </w:r>
          </w:p>
        </w:tc>
      </w:tr>
      <w:tr w:rsidR="00094034" w14:paraId="6167B6BB" w14:textId="77777777">
        <w:trPr>
          <w:trHeight w:val="340"/>
        </w:trPr>
        <w:tc>
          <w:tcPr>
            <w:tcW w:w="790" w:type="dxa"/>
            <w:vAlign w:val="center"/>
          </w:tcPr>
          <w:p w14:paraId="0CC4C96F"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11</w:t>
            </w:r>
          </w:p>
        </w:tc>
        <w:tc>
          <w:tcPr>
            <w:tcW w:w="4731" w:type="dxa"/>
            <w:vAlign w:val="center"/>
          </w:tcPr>
          <w:p w14:paraId="7470582D"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《新乡市大气污染防治条例》</w:t>
            </w:r>
          </w:p>
        </w:tc>
        <w:tc>
          <w:tcPr>
            <w:tcW w:w="3216" w:type="dxa"/>
            <w:vAlign w:val="center"/>
          </w:tcPr>
          <w:p w14:paraId="14F3A0AD"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大型餐饮服务单位</w:t>
            </w:r>
          </w:p>
        </w:tc>
      </w:tr>
      <w:tr w:rsidR="00094034" w14:paraId="0FDE083B" w14:textId="77777777">
        <w:trPr>
          <w:trHeight w:val="340"/>
        </w:trPr>
        <w:tc>
          <w:tcPr>
            <w:tcW w:w="790" w:type="dxa"/>
            <w:vAlign w:val="center"/>
          </w:tcPr>
          <w:p w14:paraId="62DA1260"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12</w:t>
            </w:r>
          </w:p>
        </w:tc>
        <w:tc>
          <w:tcPr>
            <w:tcW w:w="4731" w:type="dxa"/>
            <w:vAlign w:val="center"/>
          </w:tcPr>
          <w:p w14:paraId="62FFE309"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《广州市餐饮场所污染防治规定》</w:t>
            </w:r>
          </w:p>
        </w:tc>
        <w:tc>
          <w:tcPr>
            <w:tcW w:w="3216" w:type="dxa"/>
            <w:vAlign w:val="center"/>
          </w:tcPr>
          <w:p w14:paraId="0DB5BB45"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大中型餐饮场所</w:t>
            </w:r>
          </w:p>
        </w:tc>
      </w:tr>
      <w:tr w:rsidR="00094034" w14:paraId="75F8DA80" w14:textId="77777777">
        <w:trPr>
          <w:trHeight w:val="340"/>
        </w:trPr>
        <w:tc>
          <w:tcPr>
            <w:tcW w:w="790" w:type="dxa"/>
            <w:vAlign w:val="center"/>
          </w:tcPr>
          <w:p w14:paraId="53EE81D2"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13</w:t>
            </w:r>
          </w:p>
        </w:tc>
        <w:tc>
          <w:tcPr>
            <w:tcW w:w="4731" w:type="dxa"/>
            <w:vAlign w:val="center"/>
          </w:tcPr>
          <w:p w14:paraId="7FF72C94"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《常州市餐饮业污染防治管理办法》</w:t>
            </w:r>
          </w:p>
        </w:tc>
        <w:tc>
          <w:tcPr>
            <w:tcW w:w="3216" w:type="dxa"/>
            <w:vAlign w:val="center"/>
          </w:tcPr>
          <w:p w14:paraId="48761B0F"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营业面积五百平方米以上的餐饮业经营者</w:t>
            </w:r>
          </w:p>
        </w:tc>
      </w:tr>
      <w:tr w:rsidR="00094034" w14:paraId="4D31C0FF" w14:textId="77777777">
        <w:trPr>
          <w:trHeight w:val="340"/>
        </w:trPr>
        <w:tc>
          <w:tcPr>
            <w:tcW w:w="790" w:type="dxa"/>
            <w:vAlign w:val="center"/>
          </w:tcPr>
          <w:p w14:paraId="66E34859"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14</w:t>
            </w:r>
          </w:p>
        </w:tc>
        <w:tc>
          <w:tcPr>
            <w:tcW w:w="4731" w:type="dxa"/>
            <w:vAlign w:val="center"/>
          </w:tcPr>
          <w:p w14:paraId="385B753E"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《成都市餐饮服务业油烟污染防治管理办法》</w:t>
            </w:r>
          </w:p>
        </w:tc>
        <w:tc>
          <w:tcPr>
            <w:tcW w:w="3216" w:type="dxa"/>
            <w:vAlign w:val="center"/>
          </w:tcPr>
          <w:p w14:paraId="27ADAF7B"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全市大型规模餐饮企业和重点管</w:t>
            </w:r>
            <w:proofErr w:type="gramStart"/>
            <w:r>
              <w:rPr>
                <w:rFonts w:asciiTheme="majorEastAsia" w:eastAsiaTheme="majorEastAsia" w:hAnsiTheme="majorEastAsia" w:hint="eastAsia"/>
                <w:szCs w:val="21"/>
              </w:rPr>
              <w:t>控区域</w:t>
            </w:r>
            <w:proofErr w:type="gramEnd"/>
            <w:r>
              <w:rPr>
                <w:rFonts w:asciiTheme="majorEastAsia" w:eastAsiaTheme="majorEastAsia" w:hAnsiTheme="majorEastAsia" w:hint="eastAsia"/>
                <w:szCs w:val="21"/>
              </w:rPr>
              <w:t>内的中型及以上规模餐饮企业</w:t>
            </w:r>
          </w:p>
        </w:tc>
      </w:tr>
      <w:tr w:rsidR="00094034" w14:paraId="4EB1A079" w14:textId="77777777">
        <w:trPr>
          <w:trHeight w:val="340"/>
        </w:trPr>
        <w:tc>
          <w:tcPr>
            <w:tcW w:w="790" w:type="dxa"/>
            <w:vAlign w:val="center"/>
          </w:tcPr>
          <w:p w14:paraId="08C5E323"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15</w:t>
            </w:r>
          </w:p>
        </w:tc>
        <w:tc>
          <w:tcPr>
            <w:tcW w:w="4731" w:type="dxa"/>
            <w:vAlign w:val="center"/>
          </w:tcPr>
          <w:p w14:paraId="2AA769CB"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《鄂州市餐饮服务业油烟污染防治条例》</w:t>
            </w:r>
          </w:p>
        </w:tc>
        <w:tc>
          <w:tcPr>
            <w:tcW w:w="3216" w:type="dxa"/>
            <w:vAlign w:val="center"/>
          </w:tcPr>
          <w:p w14:paraId="73924D6F"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建立餐饮服务业油烟排放智能监控平台</w:t>
            </w:r>
          </w:p>
        </w:tc>
      </w:tr>
      <w:tr w:rsidR="00094034" w14:paraId="6A0B6F78" w14:textId="77777777">
        <w:trPr>
          <w:trHeight w:val="340"/>
        </w:trPr>
        <w:tc>
          <w:tcPr>
            <w:tcW w:w="790" w:type="dxa"/>
            <w:vAlign w:val="center"/>
          </w:tcPr>
          <w:p w14:paraId="0F661342"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16</w:t>
            </w:r>
          </w:p>
        </w:tc>
        <w:tc>
          <w:tcPr>
            <w:tcW w:w="4731" w:type="dxa"/>
            <w:vAlign w:val="center"/>
          </w:tcPr>
          <w:p w14:paraId="59FD8186"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《嘉兴市餐饮业油烟管理办法》</w:t>
            </w:r>
          </w:p>
        </w:tc>
        <w:tc>
          <w:tcPr>
            <w:tcW w:w="3216" w:type="dxa"/>
            <w:vAlign w:val="center"/>
          </w:tcPr>
          <w:p w14:paraId="6D5ED482"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建立餐饮业油烟在线监控系统平台</w:t>
            </w:r>
          </w:p>
        </w:tc>
      </w:tr>
      <w:tr w:rsidR="00094034" w14:paraId="4B820850" w14:textId="77777777">
        <w:trPr>
          <w:trHeight w:val="340"/>
        </w:trPr>
        <w:tc>
          <w:tcPr>
            <w:tcW w:w="790" w:type="dxa"/>
            <w:vAlign w:val="center"/>
          </w:tcPr>
          <w:p w14:paraId="53C02C54"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17</w:t>
            </w:r>
          </w:p>
        </w:tc>
        <w:tc>
          <w:tcPr>
            <w:tcW w:w="4731" w:type="dxa"/>
            <w:vAlign w:val="center"/>
          </w:tcPr>
          <w:p w14:paraId="0E717546"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《银川市餐饮服务业环境污染防治条例》</w:t>
            </w:r>
          </w:p>
        </w:tc>
        <w:tc>
          <w:tcPr>
            <w:tcW w:w="3216" w:type="dxa"/>
            <w:vAlign w:val="center"/>
          </w:tcPr>
          <w:p w14:paraId="31ACC158"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位于环境敏感区的大型餐饮服务单位</w:t>
            </w:r>
          </w:p>
        </w:tc>
      </w:tr>
      <w:tr w:rsidR="00094034" w14:paraId="42DCDF83" w14:textId="77777777">
        <w:trPr>
          <w:trHeight w:val="340"/>
        </w:trPr>
        <w:tc>
          <w:tcPr>
            <w:tcW w:w="790" w:type="dxa"/>
            <w:vAlign w:val="center"/>
          </w:tcPr>
          <w:p w14:paraId="5685B981"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18</w:t>
            </w:r>
          </w:p>
        </w:tc>
        <w:tc>
          <w:tcPr>
            <w:tcW w:w="4731" w:type="dxa"/>
            <w:vAlign w:val="center"/>
          </w:tcPr>
          <w:p w14:paraId="632A7EE6"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《杭州市大气污染防治规定》</w:t>
            </w:r>
          </w:p>
        </w:tc>
        <w:tc>
          <w:tcPr>
            <w:tcW w:w="3216" w:type="dxa"/>
            <w:vAlign w:val="center"/>
          </w:tcPr>
          <w:p w14:paraId="7053331D"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重点油烟排放企业</w:t>
            </w:r>
          </w:p>
        </w:tc>
      </w:tr>
      <w:tr w:rsidR="00094034" w14:paraId="0EE97CE5" w14:textId="77777777">
        <w:trPr>
          <w:trHeight w:val="340"/>
        </w:trPr>
        <w:tc>
          <w:tcPr>
            <w:tcW w:w="790" w:type="dxa"/>
            <w:vAlign w:val="center"/>
          </w:tcPr>
          <w:p w14:paraId="2E7787B9"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19</w:t>
            </w:r>
          </w:p>
        </w:tc>
        <w:tc>
          <w:tcPr>
            <w:tcW w:w="4731" w:type="dxa"/>
            <w:vAlign w:val="center"/>
          </w:tcPr>
          <w:p w14:paraId="3A9E8399"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《商洛市大气污染防治条例》</w:t>
            </w:r>
          </w:p>
        </w:tc>
        <w:tc>
          <w:tcPr>
            <w:tcW w:w="3216" w:type="dxa"/>
            <w:vAlign w:val="center"/>
          </w:tcPr>
          <w:p w14:paraId="6E2B51AE"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营业面积在一千平方米以上的餐饮业经营者</w:t>
            </w:r>
          </w:p>
        </w:tc>
      </w:tr>
      <w:tr w:rsidR="00094034" w14:paraId="3A5940E5" w14:textId="77777777">
        <w:trPr>
          <w:trHeight w:val="340"/>
        </w:trPr>
        <w:tc>
          <w:tcPr>
            <w:tcW w:w="790" w:type="dxa"/>
            <w:vAlign w:val="center"/>
          </w:tcPr>
          <w:p w14:paraId="2E691A42"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20</w:t>
            </w:r>
          </w:p>
        </w:tc>
        <w:tc>
          <w:tcPr>
            <w:tcW w:w="4731" w:type="dxa"/>
            <w:vAlign w:val="center"/>
          </w:tcPr>
          <w:p w14:paraId="1121313E"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《晋城市市区餐饮行业油烟在线监测和管理规范》</w:t>
            </w:r>
          </w:p>
        </w:tc>
        <w:tc>
          <w:tcPr>
            <w:tcW w:w="3216" w:type="dxa"/>
            <w:vAlign w:val="center"/>
          </w:tcPr>
          <w:p w14:paraId="416AD424" w14:textId="77777777" w:rsidR="00094034" w:rsidRDefault="00000000">
            <w:pPr>
              <w:jc w:val="center"/>
              <w:rPr>
                <w:rFonts w:asciiTheme="majorEastAsia" w:eastAsiaTheme="majorEastAsia" w:hAnsiTheme="majorEastAsia" w:hint="eastAsia"/>
                <w:szCs w:val="21"/>
              </w:rPr>
            </w:pPr>
            <w:r>
              <w:rPr>
                <w:rFonts w:asciiTheme="majorEastAsia" w:eastAsiaTheme="majorEastAsia" w:hAnsiTheme="majorEastAsia" w:hint="eastAsia"/>
                <w:szCs w:val="21"/>
              </w:rPr>
              <w:t>市区建成区200座以上的饭店和烧烤类饭店</w:t>
            </w:r>
          </w:p>
        </w:tc>
      </w:tr>
    </w:tbl>
    <w:p w14:paraId="0D1B668A" w14:textId="77777777" w:rsidR="00094034" w:rsidRDefault="00000000">
      <w:pPr>
        <w:spacing w:line="360" w:lineRule="auto"/>
        <w:rPr>
          <w:rFonts w:asciiTheme="majorEastAsia" w:eastAsiaTheme="majorEastAsia" w:hAnsiTheme="majorEastAsia" w:cs="宋体" w:hint="eastAsia"/>
          <w:b/>
          <w:bCs/>
          <w:sz w:val="24"/>
        </w:rPr>
      </w:pPr>
      <w:r>
        <w:rPr>
          <w:rFonts w:asciiTheme="majorEastAsia" w:eastAsiaTheme="majorEastAsia" w:hAnsiTheme="majorEastAsia" w:cs="宋体" w:hint="eastAsia"/>
          <w:b/>
          <w:bCs/>
          <w:sz w:val="24"/>
        </w:rPr>
        <w:t xml:space="preserve">1.2  </w:t>
      </w:r>
      <w:r>
        <w:rPr>
          <w:rFonts w:asciiTheme="majorEastAsia" w:eastAsiaTheme="majorEastAsia" w:hAnsiTheme="majorEastAsia" w:cs="黑体" w:hint="eastAsia"/>
          <w:sz w:val="24"/>
        </w:rPr>
        <w:t>推动餐饮油烟污染治理的需要</w:t>
      </w:r>
    </w:p>
    <w:p w14:paraId="6F396B56"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我国餐饮经济发达，2023年全国餐饮收入52890亿元，同比增长 20.4%，餐饮门店达770.3万家。但是，餐饮业油烟问题较为突出。研究表明，餐饮油烟颗粒物绝大部分都是细颗粒物（PM</w:t>
      </w:r>
      <w:r>
        <w:rPr>
          <w:rFonts w:asciiTheme="majorEastAsia" w:eastAsiaTheme="majorEastAsia" w:hAnsiTheme="majorEastAsia" w:cs="宋体" w:hint="eastAsia"/>
          <w:sz w:val="24"/>
          <w:vertAlign w:val="subscript"/>
        </w:rPr>
        <w:t>2.5</w:t>
      </w:r>
      <w:r>
        <w:rPr>
          <w:rFonts w:asciiTheme="majorEastAsia" w:eastAsiaTheme="majorEastAsia" w:hAnsiTheme="majorEastAsia" w:cs="宋体" w:hint="eastAsia"/>
          <w:sz w:val="24"/>
        </w:rPr>
        <w:t>），从PM</w:t>
      </w:r>
      <w:r>
        <w:rPr>
          <w:rFonts w:asciiTheme="majorEastAsia" w:eastAsiaTheme="majorEastAsia" w:hAnsiTheme="majorEastAsia" w:cs="宋体" w:hint="eastAsia"/>
          <w:sz w:val="24"/>
          <w:vertAlign w:val="subscript"/>
        </w:rPr>
        <w:t>2.5</w:t>
      </w:r>
      <w:r>
        <w:rPr>
          <w:rFonts w:asciiTheme="majorEastAsia" w:eastAsiaTheme="majorEastAsia" w:hAnsiTheme="majorEastAsia" w:cs="宋体" w:hint="eastAsia"/>
          <w:sz w:val="24"/>
        </w:rPr>
        <w:t>来源解析看，餐饮业的贡献约为4%-15%左右。同时，油烟颗粒物排放易产生扰民问题，引发信访投诉，2019年全国“12369环保举报联网管理平台”数据显示，油烟举报占大气污染投诉总量的15.3%。为解决油烟问题，政府采取了一系列政策措施推进治理，但成效不理想，存在净化设备以次充好、市场失序等问题。编制实施本标准是加强油烟管治的客观要求，可以规范评判净化效果，推动油烟治理。</w:t>
      </w:r>
    </w:p>
    <w:p w14:paraId="08D7ACB8" w14:textId="77777777" w:rsidR="00094034" w:rsidRDefault="00000000">
      <w:pPr>
        <w:spacing w:line="360" w:lineRule="auto"/>
        <w:rPr>
          <w:rFonts w:asciiTheme="majorEastAsia" w:eastAsiaTheme="majorEastAsia" w:hAnsiTheme="majorEastAsia" w:cs="宋体" w:hint="eastAsia"/>
          <w:b/>
          <w:bCs/>
          <w:sz w:val="24"/>
        </w:rPr>
      </w:pPr>
      <w:r>
        <w:rPr>
          <w:rFonts w:asciiTheme="majorEastAsia" w:eastAsiaTheme="majorEastAsia" w:hAnsiTheme="majorEastAsia" w:cs="宋体" w:hint="eastAsia"/>
          <w:b/>
          <w:bCs/>
          <w:sz w:val="24"/>
        </w:rPr>
        <w:t xml:space="preserve">1.3  </w:t>
      </w:r>
      <w:r>
        <w:rPr>
          <w:rFonts w:asciiTheme="majorEastAsia" w:eastAsiaTheme="majorEastAsia" w:hAnsiTheme="majorEastAsia" w:cs="黑体" w:hint="eastAsia"/>
          <w:sz w:val="24"/>
        </w:rPr>
        <w:t>提升在线监测数据质量的需要</w:t>
      </w:r>
    </w:p>
    <w:p w14:paraId="5509C6AA"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常规油烟采样和检测方法为红外分光光度法，执行《饮食业油烟排放标准（试行）》（GB 18483-2001）或《固定污染源废气 油烟和油雾的测定 红外分光光度法》（HJ 1077-2019），存在测试工作强度大、技术要求高、操作复杂、分析过程长、数据准确性和重复性较差等问题，给日常监督执法带来很大的不便。</w:t>
      </w:r>
      <w:r>
        <w:rPr>
          <w:rFonts w:asciiTheme="majorEastAsia" w:eastAsiaTheme="majorEastAsia" w:hAnsiTheme="majorEastAsia" w:cs="宋体" w:hint="eastAsia"/>
          <w:sz w:val="24"/>
        </w:rPr>
        <w:lastRenderedPageBreak/>
        <w:t>相比常规监测，油烟在线监测高效便捷、经济智能，近些年来应运而生，方兴未艾。但是，在线设备良莠不齐，监测数据差别较大（见表2），缺乏在线设备产品标准，相关技术要求不一致。编制实施本标准是强化监管措施的必然要求，可以提供在线设备检验规则，统一评判规范。</w:t>
      </w:r>
    </w:p>
    <w:p w14:paraId="73174DF5" w14:textId="77777777" w:rsidR="00094034" w:rsidRDefault="00000000">
      <w:pPr>
        <w:pStyle w:val="a4"/>
      </w:pPr>
      <w:r>
        <w:t>表</w:t>
      </w:r>
      <w:r>
        <w:t xml:space="preserve"> </w:t>
      </w:r>
      <w:r>
        <w:fldChar w:fldCharType="begin"/>
      </w:r>
      <w:r>
        <w:instrText xml:space="preserve"> SEQ </w:instrText>
      </w:r>
      <w:r>
        <w:instrText>表</w:instrText>
      </w:r>
      <w:r>
        <w:instrText xml:space="preserve"> \* ARABIC </w:instrText>
      </w:r>
      <w:r>
        <w:fldChar w:fldCharType="separate"/>
      </w:r>
      <w:r>
        <w:t>2</w:t>
      </w:r>
      <w:r>
        <w:fldChar w:fldCharType="end"/>
      </w:r>
      <w:r>
        <w:rPr>
          <w:rFonts w:hint="eastAsia"/>
        </w:rPr>
        <w:t xml:space="preserve">  </w:t>
      </w:r>
      <w:r>
        <w:rPr>
          <w:rFonts w:hint="eastAsia"/>
        </w:rPr>
        <w:t>不同品牌在线监测仪比对测试结果</w:t>
      </w:r>
    </w:p>
    <w:p w14:paraId="6016A6EA" w14:textId="77777777" w:rsidR="00094034" w:rsidRDefault="00000000">
      <w:pPr>
        <w:spacing w:line="360" w:lineRule="auto"/>
        <w:rPr>
          <w:rFonts w:asciiTheme="majorEastAsia" w:eastAsiaTheme="majorEastAsia" w:hAnsiTheme="majorEastAsia" w:cs="宋体" w:hint="eastAsia"/>
          <w:sz w:val="24"/>
        </w:rPr>
      </w:pPr>
      <w:r>
        <w:rPr>
          <w:rFonts w:asciiTheme="majorEastAsia" w:eastAsiaTheme="majorEastAsia" w:hAnsiTheme="majorEastAsia" w:cs="宋体" w:hint="eastAsia"/>
          <w:sz w:val="24"/>
        </w:rPr>
        <w:t>测试时间：2024年10月31日</w:t>
      </w:r>
    </w:p>
    <w:tbl>
      <w:tblPr>
        <w:tblStyle w:val="a9"/>
        <w:tblW w:w="0" w:type="auto"/>
        <w:tblLook w:val="04A0" w:firstRow="1" w:lastRow="0" w:firstColumn="1" w:lastColumn="0" w:noHBand="0" w:noVBand="1"/>
      </w:tblPr>
      <w:tblGrid>
        <w:gridCol w:w="1604"/>
        <w:gridCol w:w="1166"/>
        <w:gridCol w:w="1381"/>
        <w:gridCol w:w="1381"/>
        <w:gridCol w:w="1382"/>
        <w:gridCol w:w="1382"/>
      </w:tblGrid>
      <w:tr w:rsidR="00094034" w14:paraId="7329FA71" w14:textId="77777777">
        <w:trPr>
          <w:trHeight w:val="34"/>
        </w:trPr>
        <w:tc>
          <w:tcPr>
            <w:tcW w:w="1645" w:type="dxa"/>
            <w:vAlign w:val="center"/>
          </w:tcPr>
          <w:p w14:paraId="600E4309" w14:textId="77777777" w:rsidR="00094034" w:rsidRDefault="00094034">
            <w:pPr>
              <w:jc w:val="center"/>
              <w:rPr>
                <w:rFonts w:asciiTheme="majorEastAsia" w:eastAsiaTheme="majorEastAsia" w:hAnsiTheme="majorEastAsia" w:cs="宋体" w:hint="eastAsia"/>
                <w:szCs w:val="21"/>
              </w:rPr>
            </w:pPr>
          </w:p>
        </w:tc>
        <w:tc>
          <w:tcPr>
            <w:tcW w:w="1195" w:type="dxa"/>
            <w:vAlign w:val="center"/>
          </w:tcPr>
          <w:p w14:paraId="1E2E9CEB"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品牌1</w:t>
            </w:r>
          </w:p>
        </w:tc>
        <w:tc>
          <w:tcPr>
            <w:tcW w:w="1420" w:type="dxa"/>
            <w:vAlign w:val="center"/>
          </w:tcPr>
          <w:p w14:paraId="7D46A561"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品牌2</w:t>
            </w:r>
          </w:p>
        </w:tc>
        <w:tc>
          <w:tcPr>
            <w:tcW w:w="1420" w:type="dxa"/>
            <w:vAlign w:val="center"/>
          </w:tcPr>
          <w:p w14:paraId="1A437B6B"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品牌3</w:t>
            </w:r>
          </w:p>
        </w:tc>
        <w:tc>
          <w:tcPr>
            <w:tcW w:w="1421" w:type="dxa"/>
            <w:vAlign w:val="center"/>
          </w:tcPr>
          <w:p w14:paraId="29E2710B"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品牌4</w:t>
            </w:r>
          </w:p>
        </w:tc>
        <w:tc>
          <w:tcPr>
            <w:tcW w:w="1421" w:type="dxa"/>
            <w:vAlign w:val="center"/>
          </w:tcPr>
          <w:p w14:paraId="6F177D2C"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品牌5</w:t>
            </w:r>
          </w:p>
        </w:tc>
      </w:tr>
      <w:tr w:rsidR="00094034" w14:paraId="6AB84E53" w14:textId="77777777">
        <w:trPr>
          <w:trHeight w:val="34"/>
        </w:trPr>
        <w:tc>
          <w:tcPr>
            <w:tcW w:w="1645" w:type="dxa"/>
            <w:vAlign w:val="center"/>
          </w:tcPr>
          <w:p w14:paraId="2C79ABD3"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油烟（mg/m³）</w:t>
            </w:r>
          </w:p>
        </w:tc>
        <w:tc>
          <w:tcPr>
            <w:tcW w:w="1195" w:type="dxa"/>
            <w:vAlign w:val="center"/>
          </w:tcPr>
          <w:p w14:paraId="52C19159"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0.98</w:t>
            </w:r>
          </w:p>
        </w:tc>
        <w:tc>
          <w:tcPr>
            <w:tcW w:w="1420" w:type="dxa"/>
            <w:vAlign w:val="center"/>
          </w:tcPr>
          <w:p w14:paraId="66F1D90C"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0.12</w:t>
            </w:r>
          </w:p>
        </w:tc>
        <w:tc>
          <w:tcPr>
            <w:tcW w:w="1420" w:type="dxa"/>
            <w:vAlign w:val="center"/>
          </w:tcPr>
          <w:p w14:paraId="672099C4"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等线" w:hint="eastAsia"/>
                <w:color w:val="000000"/>
                <w:kern w:val="0"/>
                <w:szCs w:val="21"/>
                <w:lang w:bidi="ar"/>
              </w:rPr>
              <w:t>3.5</w:t>
            </w:r>
          </w:p>
        </w:tc>
        <w:tc>
          <w:tcPr>
            <w:tcW w:w="1421" w:type="dxa"/>
            <w:vAlign w:val="center"/>
          </w:tcPr>
          <w:p w14:paraId="68B7F06F"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等线" w:hint="eastAsia"/>
                <w:color w:val="000000"/>
                <w:kern w:val="0"/>
                <w:szCs w:val="21"/>
                <w:lang w:bidi="ar"/>
              </w:rPr>
              <w:t>2.61</w:t>
            </w:r>
          </w:p>
        </w:tc>
        <w:tc>
          <w:tcPr>
            <w:tcW w:w="1421" w:type="dxa"/>
            <w:vAlign w:val="center"/>
          </w:tcPr>
          <w:p w14:paraId="738FB24E"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等线" w:hint="eastAsia"/>
                <w:color w:val="000000"/>
                <w:kern w:val="0"/>
                <w:szCs w:val="21"/>
                <w:lang w:bidi="ar"/>
              </w:rPr>
              <w:t>1.88</w:t>
            </w:r>
          </w:p>
        </w:tc>
      </w:tr>
      <w:tr w:rsidR="00094034" w14:paraId="13051643" w14:textId="77777777">
        <w:trPr>
          <w:trHeight w:val="34"/>
        </w:trPr>
        <w:tc>
          <w:tcPr>
            <w:tcW w:w="1645" w:type="dxa"/>
            <w:vAlign w:val="center"/>
          </w:tcPr>
          <w:p w14:paraId="3BA1A6E3"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颗粒物（mg/m³）</w:t>
            </w:r>
          </w:p>
        </w:tc>
        <w:tc>
          <w:tcPr>
            <w:tcW w:w="1195" w:type="dxa"/>
            <w:vAlign w:val="center"/>
          </w:tcPr>
          <w:p w14:paraId="438C190C"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3.12</w:t>
            </w:r>
          </w:p>
        </w:tc>
        <w:tc>
          <w:tcPr>
            <w:tcW w:w="1420" w:type="dxa"/>
            <w:vAlign w:val="center"/>
          </w:tcPr>
          <w:p w14:paraId="70A9BF3E"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1.69</w:t>
            </w:r>
          </w:p>
        </w:tc>
        <w:tc>
          <w:tcPr>
            <w:tcW w:w="1420" w:type="dxa"/>
            <w:vAlign w:val="center"/>
          </w:tcPr>
          <w:p w14:paraId="3B1A9E37"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等线" w:hint="eastAsia"/>
                <w:color w:val="000000"/>
                <w:kern w:val="0"/>
                <w:szCs w:val="21"/>
                <w:lang w:bidi="ar"/>
              </w:rPr>
              <w:t>1.26</w:t>
            </w:r>
          </w:p>
        </w:tc>
        <w:tc>
          <w:tcPr>
            <w:tcW w:w="1421" w:type="dxa"/>
            <w:vAlign w:val="center"/>
          </w:tcPr>
          <w:p w14:paraId="07348504"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等线" w:hint="eastAsia"/>
                <w:color w:val="000000"/>
                <w:kern w:val="0"/>
                <w:szCs w:val="21"/>
                <w:lang w:bidi="ar"/>
              </w:rPr>
              <w:t>6.13</w:t>
            </w:r>
          </w:p>
        </w:tc>
        <w:tc>
          <w:tcPr>
            <w:tcW w:w="1421" w:type="dxa"/>
            <w:vAlign w:val="center"/>
          </w:tcPr>
          <w:p w14:paraId="04DFA68D" w14:textId="77777777" w:rsidR="00094034" w:rsidRDefault="00000000">
            <w:pPr>
              <w:jc w:val="center"/>
              <w:rPr>
                <w:rFonts w:asciiTheme="majorEastAsia" w:eastAsiaTheme="majorEastAsia" w:hAnsiTheme="majorEastAsia" w:cs="宋体" w:hint="eastAsia"/>
                <w:szCs w:val="21"/>
              </w:rPr>
            </w:pPr>
            <w:r>
              <w:rPr>
                <w:rFonts w:asciiTheme="majorEastAsia" w:eastAsiaTheme="majorEastAsia" w:hAnsiTheme="majorEastAsia" w:cs="等线" w:hint="eastAsia"/>
                <w:color w:val="000000"/>
                <w:kern w:val="0"/>
                <w:szCs w:val="21"/>
                <w:lang w:bidi="ar"/>
              </w:rPr>
              <w:t>2.54</w:t>
            </w:r>
          </w:p>
        </w:tc>
      </w:tr>
    </w:tbl>
    <w:p w14:paraId="4533D42B" w14:textId="77777777" w:rsidR="00094034" w:rsidRDefault="00000000">
      <w:pPr>
        <w:spacing w:line="360" w:lineRule="auto"/>
        <w:rPr>
          <w:rFonts w:asciiTheme="majorEastAsia" w:eastAsiaTheme="majorEastAsia" w:hAnsiTheme="majorEastAsia" w:cs="宋体" w:hint="eastAsia"/>
          <w:sz w:val="24"/>
        </w:rPr>
      </w:pPr>
      <w:r>
        <w:rPr>
          <w:rFonts w:asciiTheme="majorEastAsia" w:eastAsiaTheme="majorEastAsia" w:hAnsiTheme="majorEastAsia" w:cs="黑体" w:hint="eastAsia"/>
          <w:sz w:val="24"/>
        </w:rPr>
        <w:t>2.基本原则</w:t>
      </w:r>
    </w:p>
    <w:p w14:paraId="705F4890"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2.1  现实性与前瞻性结合</w:t>
      </w:r>
    </w:p>
    <w:p w14:paraId="126FBF71"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国家和各地排放标准均将油烟作为控制指标，本标准和排放标准保持一致，将油烟作为在线监测指标。本标准坚持前瞻性原则，将颗粒物作为在线监测指标。一是颗粒物为餐饮业废气排放的特征污染物。现行国家标准GB 18483-2021规定的油烟指标实际上是油烟中油分的浓度，不包括EC、盐类和含氮、含氧有机物以及燃料燃烧产生的颗粒物组分。二是颗粒物排放管</w:t>
      </w:r>
      <w:proofErr w:type="gramStart"/>
      <w:r>
        <w:rPr>
          <w:rFonts w:asciiTheme="majorEastAsia" w:eastAsiaTheme="majorEastAsia" w:hAnsiTheme="majorEastAsia" w:cs="宋体" w:hint="eastAsia"/>
          <w:sz w:val="24"/>
        </w:rPr>
        <w:t>控具有</w:t>
      </w:r>
      <w:proofErr w:type="gramEnd"/>
      <w:r>
        <w:rPr>
          <w:rFonts w:asciiTheme="majorEastAsia" w:eastAsiaTheme="majorEastAsia" w:hAnsiTheme="majorEastAsia" w:cs="宋体" w:hint="eastAsia"/>
          <w:sz w:val="24"/>
        </w:rPr>
        <w:t>技术支持。颗粒物光散射法在线监测技术已成功应用于环境空气质量、固定污染源烟气以及扬尘等领域在线监测，实验室检测方法可适用北京市地标《餐饮业 颗粒物的测定 手工称重法》（DB11/T 1485—2017）。油烟颗粒物的治理技术也较为成熟。此外，北京市《餐饮业大气污染物排放标准》（DB11/ 1488—2018）以及部分油烟在线监测技术规范将颗粒物纳入控制指标。</w:t>
      </w:r>
    </w:p>
    <w:p w14:paraId="641000BB"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2.2  科学性与实用性结合</w:t>
      </w:r>
    </w:p>
    <w:p w14:paraId="54F8E5FE"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一方面，坚持科学性。采</w:t>
      </w:r>
      <w:proofErr w:type="gramStart"/>
      <w:r>
        <w:rPr>
          <w:rFonts w:asciiTheme="majorEastAsia" w:eastAsiaTheme="majorEastAsia" w:hAnsiTheme="majorEastAsia" w:cs="宋体" w:hint="eastAsia"/>
          <w:sz w:val="24"/>
        </w:rPr>
        <w:t>行成熟</w:t>
      </w:r>
      <w:proofErr w:type="gramEnd"/>
      <w:r>
        <w:rPr>
          <w:rFonts w:asciiTheme="majorEastAsia" w:eastAsiaTheme="majorEastAsia" w:hAnsiTheme="majorEastAsia" w:cs="宋体" w:hint="eastAsia"/>
          <w:sz w:val="24"/>
        </w:rPr>
        <w:t>的光散射法在线监测技术，设定了油烟和颗粒物零点漂移、示值误差、响应时间、重复性、高浓度淹没试验、水汽影响试验等6项性能指标和试验方法，提出了在线设备外观要求和安全要求。另一方面，坚持实用性原则。在线监测</w:t>
      </w:r>
      <w:proofErr w:type="gramStart"/>
      <w:r>
        <w:rPr>
          <w:rFonts w:asciiTheme="majorEastAsia" w:eastAsiaTheme="majorEastAsia" w:hAnsiTheme="majorEastAsia" w:cs="宋体" w:hint="eastAsia"/>
          <w:sz w:val="24"/>
        </w:rPr>
        <w:t>仪当前宜</w:t>
      </w:r>
      <w:proofErr w:type="gramEnd"/>
      <w:r>
        <w:rPr>
          <w:rFonts w:asciiTheme="majorEastAsia" w:eastAsiaTheme="majorEastAsia" w:hAnsiTheme="majorEastAsia" w:cs="宋体" w:hint="eastAsia"/>
          <w:sz w:val="24"/>
        </w:rPr>
        <w:t>定位为管理工具，应具有经济性和现场适用性。一是抓住重点指标。将监测油烟浓度、颗粒物浓度、静电式净化设备工作电流和排风机开关状态4项指标作为功能要求。二是放松参数设置。对温度、湿度、流速或流量等烟气参数以及有关工况监控数据未作硬性测量要求，可根据需要自主决定。三是监测实况数据。在线浓度数据为实测数据，未经转换或折算。四是</w:t>
      </w:r>
      <w:r>
        <w:rPr>
          <w:rFonts w:asciiTheme="majorEastAsia" w:eastAsiaTheme="majorEastAsia" w:hAnsiTheme="majorEastAsia" w:cs="宋体" w:hint="eastAsia"/>
          <w:sz w:val="24"/>
        </w:rPr>
        <w:lastRenderedPageBreak/>
        <w:t>引入参考设备。引入参考油烟颗粒物浓度监测仪，以方便设备检验、校验和监管。五是不限等速采样。实践中，可根据需要加强参考设备的配置，提高性能和功能。</w:t>
      </w:r>
    </w:p>
    <w:p w14:paraId="6B9C15DD"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2.3  依据</w:t>
      </w:r>
    </w:p>
    <w:p w14:paraId="5DFFC242"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sz w:val="24"/>
        </w:rPr>
        <w:t>本</w:t>
      </w:r>
      <w:r>
        <w:rPr>
          <w:rFonts w:asciiTheme="majorEastAsia" w:eastAsiaTheme="majorEastAsia" w:hAnsiTheme="majorEastAsia" w:cs="宋体" w:hint="eastAsia"/>
          <w:sz w:val="24"/>
        </w:rPr>
        <w:t>标准</w:t>
      </w:r>
      <w:r>
        <w:rPr>
          <w:rFonts w:asciiTheme="majorEastAsia" w:eastAsiaTheme="majorEastAsia" w:hAnsiTheme="majorEastAsia" w:cs="宋体"/>
          <w:sz w:val="24"/>
        </w:rPr>
        <w:t>制定主要依据及参考了以下文件：</w:t>
      </w:r>
    </w:p>
    <w:p w14:paraId="37CC4B4C"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sz w:val="24"/>
        </w:rPr>
        <w:t>GB18483  饮食业油烟排放标准（试行）</w:t>
      </w:r>
    </w:p>
    <w:p w14:paraId="33717CF9"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sz w:val="24"/>
        </w:rPr>
        <w:t>GB/T 34065—2017 分析仪器的安全要求</w:t>
      </w:r>
    </w:p>
    <w:p w14:paraId="23D4388C"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hint="eastAsia"/>
          <w:sz w:val="24"/>
        </w:rPr>
        <w:t>HJ76 固定污染源烟气（SO</w:t>
      </w:r>
      <w:r>
        <w:rPr>
          <w:rFonts w:asciiTheme="majorEastAsia" w:eastAsiaTheme="majorEastAsia" w:hAnsiTheme="majorEastAsia" w:cs="宋体" w:hint="eastAsia"/>
          <w:sz w:val="24"/>
          <w:vertAlign w:val="subscript"/>
        </w:rPr>
        <w:t>2</w:t>
      </w:r>
      <w:r>
        <w:rPr>
          <w:rFonts w:asciiTheme="majorEastAsia" w:eastAsiaTheme="majorEastAsia" w:hAnsiTheme="majorEastAsia" w:cs="宋体" w:hint="eastAsia"/>
          <w:sz w:val="24"/>
        </w:rPr>
        <w:t>、NO</w:t>
      </w:r>
      <w:r>
        <w:rPr>
          <w:rFonts w:asciiTheme="majorEastAsia" w:eastAsiaTheme="majorEastAsia" w:hAnsiTheme="majorEastAsia" w:cs="宋体" w:hint="eastAsia"/>
          <w:sz w:val="24"/>
          <w:vertAlign w:val="subscript"/>
        </w:rPr>
        <w:t>X</w:t>
      </w:r>
      <w:r>
        <w:rPr>
          <w:rFonts w:asciiTheme="majorEastAsia" w:eastAsiaTheme="majorEastAsia" w:hAnsiTheme="majorEastAsia" w:cs="宋体" w:hint="eastAsia"/>
          <w:sz w:val="24"/>
        </w:rPr>
        <w:t>、颗粒物）排放连续监测系统技术要求及检测方法</w:t>
      </w:r>
    </w:p>
    <w:p w14:paraId="1F8A0F67"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hint="eastAsia"/>
          <w:sz w:val="24"/>
        </w:rPr>
        <w:t>HJ 836 固定污染源废气 低浓度颗粒物的测定 重量法</w:t>
      </w:r>
    </w:p>
    <w:p w14:paraId="0E7DB345"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sz w:val="24"/>
        </w:rPr>
        <w:t>HJ 1077 固定污染源废气 油烟</w:t>
      </w:r>
      <w:proofErr w:type="gramStart"/>
      <w:r>
        <w:rPr>
          <w:rFonts w:asciiTheme="majorEastAsia" w:eastAsiaTheme="majorEastAsia" w:hAnsiTheme="majorEastAsia" w:cs="宋体"/>
          <w:sz w:val="24"/>
        </w:rPr>
        <w:t>和油雾的</w:t>
      </w:r>
      <w:proofErr w:type="gramEnd"/>
      <w:r>
        <w:rPr>
          <w:rFonts w:asciiTheme="majorEastAsia" w:eastAsiaTheme="majorEastAsia" w:hAnsiTheme="majorEastAsia" w:cs="宋体"/>
          <w:sz w:val="24"/>
        </w:rPr>
        <w:t>测定 红外分光光度法</w:t>
      </w:r>
    </w:p>
    <w:p w14:paraId="0753112C"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sz w:val="24"/>
        </w:rPr>
        <w:t xml:space="preserve">HJ/T62 </w:t>
      </w:r>
      <w:r>
        <w:rPr>
          <w:rFonts w:asciiTheme="majorEastAsia" w:eastAsiaTheme="majorEastAsia" w:hAnsiTheme="majorEastAsia" w:cs="宋体" w:hint="eastAsia"/>
          <w:sz w:val="24"/>
        </w:rPr>
        <w:t xml:space="preserve"> </w:t>
      </w:r>
      <w:r>
        <w:rPr>
          <w:rFonts w:asciiTheme="majorEastAsia" w:eastAsiaTheme="majorEastAsia" w:hAnsiTheme="majorEastAsia" w:cs="宋体"/>
          <w:sz w:val="24"/>
        </w:rPr>
        <w:t>饮食业油烟净化设备技术要求及检测技术规范（试行）</w:t>
      </w:r>
    </w:p>
    <w:p w14:paraId="18C673D1"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sz w:val="24"/>
        </w:rPr>
        <w:t>HJ/T212  污染物在线监控（监测）系统数据传输标准</w:t>
      </w:r>
    </w:p>
    <w:p w14:paraId="1055E08F"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sz w:val="24"/>
        </w:rPr>
        <w:t>HJ/T477  污染源在线自动监控（监测）数据采集传输</w:t>
      </w:r>
      <w:proofErr w:type="gramStart"/>
      <w:r>
        <w:rPr>
          <w:rFonts w:asciiTheme="majorEastAsia" w:eastAsiaTheme="majorEastAsia" w:hAnsiTheme="majorEastAsia" w:cs="宋体"/>
          <w:sz w:val="24"/>
        </w:rPr>
        <w:t>仪技术</w:t>
      </w:r>
      <w:proofErr w:type="gramEnd"/>
      <w:r>
        <w:rPr>
          <w:rFonts w:asciiTheme="majorEastAsia" w:eastAsiaTheme="majorEastAsia" w:hAnsiTheme="majorEastAsia" w:cs="宋体"/>
          <w:sz w:val="24"/>
        </w:rPr>
        <w:t>要求</w:t>
      </w:r>
    </w:p>
    <w:p w14:paraId="49949A4D"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sz w:val="24"/>
        </w:rPr>
        <w:t>DB11/T 1485  餐饮业 颗粒物的测定 手工称重法</w:t>
      </w:r>
    </w:p>
    <w:p w14:paraId="64F05955"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2.4 油烟颗粒物在线监测技术</w:t>
      </w:r>
    </w:p>
    <w:p w14:paraId="739FF827"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油烟、颗粒物在线监测主要有光散射技术、气敏传感器技术和电化学传感器技术。</w:t>
      </w:r>
    </w:p>
    <w:p w14:paraId="5AFFEE0C"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光散射技术的工作原理是当激光照射到颗粒物时会产生光散射，在特定方向上的光散射波形与颗粒物粒径有关，通过不同粒径的波形分类统计及换算可以得到不同粒径的实时颗粒物的质量浓度，再经过标定得到油烟浓度数据。光散射法为主流油烟、颗粒物在线监测技术，具有快速、灵敏、稳定性较好等优点，上海和杭州的团体标准明确将光散射法作为油烟在线监测方法，深圳市《饮食业油烟控制规范》（SZDB/Z 254—2017）将粒子集合光散射法作为油烟现场和在线监测的等效测试方法。</w:t>
      </w:r>
    </w:p>
    <w:p w14:paraId="275C2232"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气敏传感器法，指基于简单回路检测出低浓度的还原性气体的半导体气体传感器的油烟浓度测定方法，主要测量的是油烟中的气体成分，该传感器易被油烟覆盖而导致其寿命较短。由于暴露使用，工作条件较恶劣，气敏传感器存在选择性差、零点漂移大、受温湿度变化影响大、长期稳定性差、重复性差、响应速度慢等缺陷，通常用于异常气体报警等测量精度要求不高的场合，并不适用于对油</w:t>
      </w:r>
      <w:r>
        <w:rPr>
          <w:rFonts w:asciiTheme="majorEastAsia" w:eastAsiaTheme="majorEastAsia" w:hAnsiTheme="majorEastAsia" w:cs="宋体" w:hint="eastAsia"/>
          <w:sz w:val="24"/>
        </w:rPr>
        <w:lastRenderedPageBreak/>
        <w:t>烟废气进行定量测量。</w:t>
      </w:r>
    </w:p>
    <w:p w14:paraId="149897DB"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电化学传感器是利用电化学传感器通过与被测气体发生反应并产生与气体浓度成正比的电信号来工作，实际工作中由于电机表面连续发生电化学反应，传感电极电势并不能保持恒定，传感器性能会在使用较长时间后退化。</w:t>
      </w:r>
    </w:p>
    <w:p w14:paraId="3D066F2C"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2.5 油烟颗粒物在线监测实践</w:t>
      </w:r>
    </w:p>
    <w:p w14:paraId="3AE3B0D1"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近年来，油烟颗粒物在线监测仪在有关各地得到大力推广，以杭州市为例。</w:t>
      </w:r>
    </w:p>
    <w:p w14:paraId="4C0326DB"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杭州市自2021年9月开始建设餐饮油烟在线管理系统，截至2024年底，共安装在线设备1.8万台左右（经营性餐饮单位占比80%左右），设备服务商30余家（设备厂商10家左右），在线设备均取得中环协环境保护产品认证（以下简称“CCEP”）证书，技术原理均为光散射法。</w:t>
      </w:r>
    </w:p>
    <w:p w14:paraId="2FF66CBC"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杭州市大力推行油烟在线监测，加强油烟管控数字化建设，取得“两升两降”的治理成效。以临平区为例。2021年10月至12月，净化设备使用率从59.09%上升到97.63%，油烟排放达标率从53.08%上升到87.93%，油烟排放超标率从46.92%下降到19.38%，信访投诉量从17起下降到4起。</w:t>
      </w:r>
    </w:p>
    <w:p w14:paraId="1BB64596"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但是，杭州市油烟在线监测也面临一些问题，如在线仪器存在数据失真、数据漂移、长时间为0、异常离线等异常情况，数据质量难以评估，市场竞争存在失序风险，监管压力增大等。解决这些问题，需要从源头上着手，制订实施在线设备有关产品标准，统一技术要求。</w:t>
      </w:r>
    </w:p>
    <w:p w14:paraId="3A984470" w14:textId="77777777" w:rsidR="00094034" w:rsidRDefault="00000000">
      <w:pPr>
        <w:pStyle w:val="2"/>
        <w:numPr>
          <w:ilvl w:val="1"/>
          <w:numId w:val="0"/>
        </w:numPr>
        <w:spacing w:before="156" w:after="156" w:line="360" w:lineRule="auto"/>
        <w:rPr>
          <w:rFonts w:asciiTheme="majorEastAsia" w:eastAsiaTheme="majorEastAsia" w:hAnsiTheme="majorEastAsia" w:cs="黑体" w:hint="eastAsia"/>
          <w:sz w:val="24"/>
          <w:szCs w:val="24"/>
        </w:rPr>
      </w:pPr>
      <w:bookmarkStart w:id="11" w:name="_Toc4507"/>
      <w:bookmarkStart w:id="12" w:name="_Toc163724757"/>
      <w:r>
        <w:rPr>
          <w:rFonts w:asciiTheme="majorEastAsia" w:eastAsiaTheme="majorEastAsia" w:hAnsiTheme="majorEastAsia" w:cs="黑体" w:hint="eastAsia"/>
          <w:sz w:val="24"/>
          <w:szCs w:val="24"/>
        </w:rPr>
        <w:t>2.6 主要内容的确立</w:t>
      </w:r>
      <w:bookmarkEnd w:id="11"/>
      <w:bookmarkEnd w:id="12"/>
    </w:p>
    <w:p w14:paraId="7E865852"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2.6.1  适用范围</w:t>
      </w:r>
    </w:p>
    <w:p w14:paraId="02F7479D"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本标准适用于基于光散射法的油烟颗粒物在线监测仪。主要应用于餐饮业，即在一定场所，利用餐饮设施对食物进行现场烹饪（包括调制加工），为社会生活提供饮食服务的行业，主体包括餐饮服务单位和食品制造企业。</w:t>
      </w:r>
    </w:p>
    <w:p w14:paraId="63831565"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2.6.2  术语和定义</w:t>
      </w:r>
    </w:p>
    <w:p w14:paraId="36D8A8D9"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参考现行标准规定了油烟、颗粒物、油烟颗粒物在线监测仪3个术语。</w:t>
      </w:r>
    </w:p>
    <w:p w14:paraId="30D25F8E"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油烟定义根据《固定污染源废气 油烟和油雾的测定 红外分光光度法》（</w:t>
      </w:r>
      <w:r>
        <w:rPr>
          <w:rFonts w:asciiTheme="majorEastAsia" w:eastAsiaTheme="majorEastAsia" w:hAnsiTheme="majorEastAsia"/>
          <w:sz w:val="24"/>
        </w:rPr>
        <w:t>HJ 1077 —2019</w:t>
      </w:r>
      <w:r>
        <w:rPr>
          <w:rFonts w:asciiTheme="majorEastAsia" w:eastAsiaTheme="majorEastAsia" w:hAnsiTheme="majorEastAsia" w:cs="宋体" w:hint="eastAsia"/>
          <w:sz w:val="24"/>
        </w:rPr>
        <w:t>）给出。</w:t>
      </w:r>
    </w:p>
    <w:p w14:paraId="11A89272"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颗粒物定义根据北京地方标准《餐饮业 颗粒物的测定 手工称重法》（DB11/T 1485）给出。</w:t>
      </w:r>
    </w:p>
    <w:p w14:paraId="0B06DA50"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lastRenderedPageBreak/>
        <w:t>油烟颗粒物在线监测仪定义参考HJ76和上海、杭州等有关团体标准，定义为“用于检测油烟浓度和颗粒物浓度的终端在线监测设备，包括采样模块、检测模块（激光散射传感器）、数据采集处理模块、显示模块和通讯网络传输模块。”</w:t>
      </w:r>
    </w:p>
    <w:p w14:paraId="20F1D9B3"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2.6.3  技术要求</w:t>
      </w:r>
    </w:p>
    <w:p w14:paraId="79396910" w14:textId="77777777" w:rsidR="00094034" w:rsidRDefault="00000000" w:rsidP="00742CC3">
      <w:pPr>
        <w:pStyle w:val="ac"/>
        <w:numPr>
          <w:ilvl w:val="0"/>
          <w:numId w:val="2"/>
        </w:numPr>
        <w:rPr>
          <w:rFonts w:hint="eastAsia"/>
        </w:rPr>
      </w:pPr>
      <w:r>
        <w:rPr>
          <w:rFonts w:hint="eastAsia"/>
        </w:rPr>
        <w:t>工作环境、外观要求、安全要求</w:t>
      </w:r>
    </w:p>
    <w:p w14:paraId="2A807E21"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该部分参考HJ76、GB/T 34065等有关标准规定。</w:t>
      </w:r>
    </w:p>
    <w:p w14:paraId="1E738072" w14:textId="77777777" w:rsidR="00094034" w:rsidRDefault="00000000" w:rsidP="00742CC3">
      <w:pPr>
        <w:pStyle w:val="ac"/>
        <w:numPr>
          <w:ilvl w:val="0"/>
          <w:numId w:val="2"/>
        </w:numPr>
        <w:rPr>
          <w:rFonts w:hint="eastAsia"/>
        </w:rPr>
      </w:pPr>
      <w:r>
        <w:rPr>
          <w:rFonts w:hint="eastAsia"/>
        </w:rPr>
        <w:t>功能要求</w:t>
      </w:r>
    </w:p>
    <w:p w14:paraId="501361B1"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该部分大体包括监测功能、软件功能和传输功能三部分。</w:t>
      </w:r>
    </w:p>
    <w:p w14:paraId="129799B2" w14:textId="77777777" w:rsidR="00094034" w:rsidRDefault="00000000">
      <w:pPr>
        <w:spacing w:line="360" w:lineRule="auto"/>
        <w:ind w:firstLineChars="200" w:firstLine="480"/>
        <w:rPr>
          <w:rFonts w:asciiTheme="majorEastAsia" w:eastAsiaTheme="majorEastAsia" w:hAnsiTheme="majorEastAsia" w:cs="黑体" w:hint="eastAsia"/>
          <w:sz w:val="24"/>
        </w:rPr>
      </w:pPr>
      <w:r>
        <w:rPr>
          <w:rFonts w:asciiTheme="majorEastAsia" w:eastAsiaTheme="majorEastAsia" w:hAnsiTheme="majorEastAsia" w:cs="黑体" w:hint="eastAsia"/>
          <w:sz w:val="24"/>
        </w:rPr>
        <w:t xml:space="preserve"> 监测功能</w:t>
      </w:r>
    </w:p>
    <w:p w14:paraId="5CF005B3"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要求具备油烟浓度、颗粒物浓度、静电式净化设备工作电流和排风机开关状态监控功能，其中静电式净化</w:t>
      </w:r>
      <w:proofErr w:type="gramStart"/>
      <w:r>
        <w:rPr>
          <w:rFonts w:asciiTheme="majorEastAsia" w:eastAsiaTheme="majorEastAsia" w:hAnsiTheme="majorEastAsia" w:cs="宋体" w:hint="eastAsia"/>
          <w:sz w:val="24"/>
        </w:rPr>
        <w:t>设备电</w:t>
      </w:r>
      <w:proofErr w:type="gramEnd"/>
      <w:r>
        <w:rPr>
          <w:rFonts w:asciiTheme="majorEastAsia" w:eastAsiaTheme="majorEastAsia" w:hAnsiTheme="majorEastAsia" w:cs="宋体" w:hint="eastAsia"/>
          <w:sz w:val="24"/>
        </w:rPr>
        <w:t>流值和排风机开关状态是判断净化设备和排风机运行工况的重要指标，需纳入标准。对温度、湿度、流速或流量等烟气参数和排风机净化设备的运行功率、工作电压等有关工况监控数据，不做硬性要求。规定仪器应具备手动和</w:t>
      </w:r>
      <w:proofErr w:type="gramStart"/>
      <w:r>
        <w:rPr>
          <w:rFonts w:asciiTheme="majorEastAsia" w:eastAsiaTheme="majorEastAsia" w:hAnsiTheme="majorEastAsia" w:cs="宋体" w:hint="eastAsia"/>
          <w:sz w:val="24"/>
        </w:rPr>
        <w:t>自动校零功能</w:t>
      </w:r>
      <w:proofErr w:type="gramEnd"/>
      <w:r>
        <w:rPr>
          <w:rFonts w:asciiTheme="majorEastAsia" w:eastAsiaTheme="majorEastAsia" w:hAnsiTheme="majorEastAsia" w:cs="宋体" w:hint="eastAsia"/>
          <w:sz w:val="24"/>
        </w:rPr>
        <w:t>。</w:t>
      </w:r>
    </w:p>
    <w:p w14:paraId="7F177B2A" w14:textId="77777777" w:rsidR="00094034" w:rsidRDefault="00000000">
      <w:pPr>
        <w:spacing w:line="360" w:lineRule="auto"/>
        <w:ind w:firstLineChars="200" w:firstLine="480"/>
        <w:rPr>
          <w:rFonts w:asciiTheme="majorEastAsia" w:eastAsiaTheme="majorEastAsia" w:hAnsiTheme="majorEastAsia" w:cs="黑体" w:hint="eastAsia"/>
          <w:sz w:val="24"/>
        </w:rPr>
      </w:pPr>
      <w:r>
        <w:rPr>
          <w:rFonts w:asciiTheme="majorEastAsia" w:eastAsiaTheme="majorEastAsia" w:hAnsiTheme="majorEastAsia" w:cs="黑体" w:hint="eastAsia"/>
          <w:sz w:val="24"/>
        </w:rPr>
        <w:t>软件功能</w:t>
      </w:r>
    </w:p>
    <w:p w14:paraId="42DD03FA"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应具备数据显示、存储、查询、分析、处理及报警的功能。应具备断电数据保护的功能。</w:t>
      </w:r>
    </w:p>
    <w:p w14:paraId="33EE6244" w14:textId="77777777" w:rsidR="00094034" w:rsidRDefault="00000000">
      <w:pPr>
        <w:spacing w:line="360" w:lineRule="auto"/>
        <w:ind w:firstLineChars="200" w:firstLine="480"/>
        <w:rPr>
          <w:rFonts w:asciiTheme="majorEastAsia" w:eastAsiaTheme="majorEastAsia" w:hAnsiTheme="majorEastAsia" w:cs="黑体" w:hint="eastAsia"/>
          <w:sz w:val="24"/>
        </w:rPr>
      </w:pPr>
      <w:r>
        <w:rPr>
          <w:rFonts w:asciiTheme="majorEastAsia" w:eastAsiaTheme="majorEastAsia" w:hAnsiTheme="majorEastAsia" w:cs="黑体" w:hint="eastAsia"/>
          <w:sz w:val="24"/>
        </w:rPr>
        <w:t>通讯功能</w:t>
      </w:r>
    </w:p>
    <w:p w14:paraId="5B3C9960"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应能与云端服务器进行通讯，采用HJ 212协议传输数据，宜按1min数据频率传输。</w:t>
      </w:r>
    </w:p>
    <w:p w14:paraId="3ED4ED70" w14:textId="77777777" w:rsidR="00094034" w:rsidRDefault="00000000" w:rsidP="00742CC3">
      <w:pPr>
        <w:pStyle w:val="ac"/>
        <w:numPr>
          <w:ilvl w:val="0"/>
          <w:numId w:val="2"/>
        </w:numPr>
        <w:rPr>
          <w:rFonts w:hint="eastAsia"/>
        </w:rPr>
      </w:pPr>
      <w:r>
        <w:rPr>
          <w:rFonts w:hint="eastAsia"/>
        </w:rPr>
        <w:t>性能要求</w:t>
      </w:r>
    </w:p>
    <w:p w14:paraId="09A5BB4E"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本部分主要参考了HJ76、中环协认证规范和有关标准（见表12），并根据实验情况</w:t>
      </w:r>
      <w:proofErr w:type="gramStart"/>
      <w:r>
        <w:rPr>
          <w:rFonts w:asciiTheme="majorEastAsia" w:eastAsiaTheme="majorEastAsia" w:hAnsiTheme="majorEastAsia" w:cs="宋体" w:hint="eastAsia"/>
          <w:sz w:val="24"/>
        </w:rPr>
        <w:t>作出</w:t>
      </w:r>
      <w:proofErr w:type="gramEnd"/>
      <w:r>
        <w:rPr>
          <w:rFonts w:asciiTheme="majorEastAsia" w:eastAsiaTheme="majorEastAsia" w:hAnsiTheme="majorEastAsia" w:cs="宋体" w:hint="eastAsia"/>
          <w:sz w:val="24"/>
        </w:rPr>
        <w:t>规定。</w:t>
      </w:r>
    </w:p>
    <w:p w14:paraId="360F5C1B" w14:textId="77777777" w:rsidR="00094034" w:rsidRDefault="00000000">
      <w:pPr>
        <w:spacing w:line="360" w:lineRule="auto"/>
        <w:ind w:firstLineChars="200" w:firstLine="480"/>
        <w:rPr>
          <w:rFonts w:asciiTheme="majorEastAsia" w:eastAsiaTheme="majorEastAsia" w:hAnsiTheme="majorEastAsia" w:cs="黑体" w:hint="eastAsia"/>
          <w:sz w:val="24"/>
        </w:rPr>
      </w:pPr>
      <w:r>
        <w:rPr>
          <w:rFonts w:asciiTheme="majorEastAsia" w:eastAsiaTheme="majorEastAsia" w:hAnsiTheme="majorEastAsia" w:cs="黑体" w:hint="eastAsia"/>
          <w:sz w:val="24"/>
        </w:rPr>
        <w:t>性能指标范围</w:t>
      </w:r>
    </w:p>
    <w:p w14:paraId="064D3734"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确定指标范围应全面反映在线仪器的综合性能。有关标准（规范）都设定了零点漂移和示值误差，这两项指标对于保障设备的正确度至为重要。重复性对于保障设备的精密度至为重要。基于光散射法技术原理和监测点位现状的考虑，设定了</w:t>
      </w:r>
      <w:r>
        <w:rPr>
          <w:rFonts w:asciiTheme="majorEastAsia" w:eastAsiaTheme="majorEastAsia" w:hAnsiTheme="majorEastAsia" w:cs="宋体"/>
          <w:sz w:val="24"/>
        </w:rPr>
        <w:t>水汽影响试验</w:t>
      </w:r>
      <w:r>
        <w:rPr>
          <w:rFonts w:asciiTheme="majorEastAsia" w:eastAsiaTheme="majorEastAsia" w:hAnsiTheme="majorEastAsia" w:cs="宋体" w:hint="eastAsia"/>
          <w:sz w:val="24"/>
        </w:rPr>
        <w:t>指标。参考中环协认证规范，设定了</w:t>
      </w:r>
      <w:r>
        <w:rPr>
          <w:rFonts w:asciiTheme="majorEastAsia" w:eastAsiaTheme="majorEastAsia" w:hAnsiTheme="majorEastAsia" w:cs="宋体"/>
          <w:sz w:val="24"/>
        </w:rPr>
        <w:t>高浓度</w:t>
      </w:r>
      <w:r>
        <w:rPr>
          <w:rFonts w:asciiTheme="majorEastAsia" w:eastAsiaTheme="majorEastAsia" w:hAnsiTheme="majorEastAsia" w:cs="宋体" w:hint="eastAsia"/>
          <w:sz w:val="24"/>
        </w:rPr>
        <w:t>淹没</w:t>
      </w:r>
      <w:r>
        <w:rPr>
          <w:rFonts w:asciiTheme="majorEastAsia" w:eastAsiaTheme="majorEastAsia" w:hAnsiTheme="majorEastAsia" w:cs="宋体"/>
          <w:sz w:val="24"/>
        </w:rPr>
        <w:t>试验</w:t>
      </w:r>
      <w:r>
        <w:rPr>
          <w:rFonts w:asciiTheme="majorEastAsia" w:eastAsiaTheme="majorEastAsia" w:hAnsiTheme="majorEastAsia" w:cs="宋体" w:hint="eastAsia"/>
          <w:sz w:val="24"/>
        </w:rPr>
        <w:t>指标响应时间为在线设备指标的基本项。据此，本标准规</w:t>
      </w:r>
      <w:r>
        <w:rPr>
          <w:rFonts w:asciiTheme="majorEastAsia" w:eastAsiaTheme="majorEastAsia" w:hAnsiTheme="majorEastAsia" w:cs="宋体"/>
          <w:sz w:val="24"/>
        </w:rPr>
        <w:t>定了油烟和颗粒物零点漂移、示值误差、响应时间、重复性、高浓度</w:t>
      </w:r>
      <w:r>
        <w:rPr>
          <w:rFonts w:asciiTheme="majorEastAsia" w:eastAsiaTheme="majorEastAsia" w:hAnsiTheme="majorEastAsia" w:cs="宋体" w:hint="eastAsia"/>
          <w:sz w:val="24"/>
        </w:rPr>
        <w:t>淹没</w:t>
      </w:r>
      <w:r>
        <w:rPr>
          <w:rFonts w:asciiTheme="majorEastAsia" w:eastAsiaTheme="majorEastAsia" w:hAnsiTheme="majorEastAsia" w:cs="宋体"/>
          <w:sz w:val="24"/>
        </w:rPr>
        <w:t>、水汽影响等</w:t>
      </w:r>
      <w:r>
        <w:rPr>
          <w:rFonts w:asciiTheme="majorEastAsia" w:eastAsiaTheme="majorEastAsia" w:hAnsiTheme="majorEastAsia" w:cs="宋体" w:hint="eastAsia"/>
          <w:sz w:val="24"/>
        </w:rPr>
        <w:t>6</w:t>
      </w:r>
      <w:r>
        <w:rPr>
          <w:rFonts w:asciiTheme="majorEastAsia" w:eastAsiaTheme="majorEastAsia" w:hAnsiTheme="majorEastAsia" w:cs="宋体"/>
          <w:sz w:val="24"/>
        </w:rPr>
        <w:t>项性能指标</w:t>
      </w:r>
      <w:r>
        <w:rPr>
          <w:rFonts w:asciiTheme="majorEastAsia" w:eastAsiaTheme="majorEastAsia" w:hAnsiTheme="majorEastAsia" w:cs="宋体" w:hint="eastAsia"/>
          <w:sz w:val="24"/>
        </w:rPr>
        <w:t>。</w:t>
      </w:r>
    </w:p>
    <w:p w14:paraId="5B4B6CA1" w14:textId="77777777" w:rsidR="00094034" w:rsidRDefault="00000000">
      <w:pPr>
        <w:spacing w:line="360" w:lineRule="auto"/>
        <w:ind w:firstLineChars="200" w:firstLine="480"/>
        <w:rPr>
          <w:rFonts w:asciiTheme="majorEastAsia" w:eastAsiaTheme="majorEastAsia" w:hAnsiTheme="majorEastAsia" w:cs="黑体" w:hint="eastAsia"/>
          <w:sz w:val="24"/>
        </w:rPr>
      </w:pPr>
      <w:r>
        <w:rPr>
          <w:rFonts w:asciiTheme="majorEastAsia" w:eastAsiaTheme="majorEastAsia" w:hAnsiTheme="majorEastAsia" w:cs="黑体" w:hint="eastAsia"/>
          <w:sz w:val="24"/>
        </w:rPr>
        <w:lastRenderedPageBreak/>
        <w:t>性能指标要求</w:t>
      </w:r>
    </w:p>
    <w:p w14:paraId="779332CD"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1）零点漂移。有关标准（规范）大部分规定零点漂移不超过±0.5mg/m³，但参考认证检测情况和编制组技术评价检测情况（见表3），可从严规定零点漂移不超过±0.2mg/m³。</w:t>
      </w:r>
    </w:p>
    <w:p w14:paraId="6510EC44" w14:textId="77777777" w:rsidR="00094034" w:rsidRDefault="00000000">
      <w:pPr>
        <w:pStyle w:val="a4"/>
      </w:pPr>
      <w:r>
        <w:t>表</w:t>
      </w:r>
      <w:r>
        <w:t xml:space="preserve"> </w:t>
      </w:r>
      <w:r>
        <w:fldChar w:fldCharType="begin"/>
      </w:r>
      <w:r>
        <w:instrText xml:space="preserve"> SEQ </w:instrText>
      </w:r>
      <w:r>
        <w:instrText>表</w:instrText>
      </w:r>
      <w:r>
        <w:instrText xml:space="preserve"> \* ARABIC </w:instrText>
      </w:r>
      <w:r>
        <w:fldChar w:fldCharType="separate"/>
      </w:r>
      <w:r>
        <w:t>3</w:t>
      </w:r>
      <w:r>
        <w:fldChar w:fldCharType="end"/>
      </w:r>
      <w:r>
        <w:rPr>
          <w:rFonts w:hint="eastAsia"/>
        </w:rPr>
        <w:t xml:space="preserve"> </w:t>
      </w:r>
      <w:r>
        <w:rPr>
          <w:rFonts w:hint="eastAsia"/>
        </w:rPr>
        <w:t>有关零点漂移数据</w:t>
      </w:r>
    </w:p>
    <w:tbl>
      <w:tblPr>
        <w:tblStyle w:val="a9"/>
        <w:tblW w:w="5111" w:type="pct"/>
        <w:tblInd w:w="-1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2421"/>
        <w:gridCol w:w="667"/>
        <w:gridCol w:w="741"/>
        <w:gridCol w:w="600"/>
        <w:gridCol w:w="668"/>
        <w:gridCol w:w="346"/>
        <w:gridCol w:w="302"/>
        <w:gridCol w:w="672"/>
        <w:gridCol w:w="672"/>
        <w:gridCol w:w="675"/>
        <w:gridCol w:w="716"/>
      </w:tblGrid>
      <w:tr w:rsidR="00094034" w14:paraId="6DDC7ED7" w14:textId="77777777">
        <w:trPr>
          <w:trHeight w:val="340"/>
        </w:trPr>
        <w:tc>
          <w:tcPr>
            <w:tcW w:w="1427"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44C80A"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设备厂商</w:t>
            </w: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BB1195"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1</w:t>
            </w:r>
          </w:p>
        </w:tc>
        <w:tc>
          <w:tcPr>
            <w:tcW w:w="437"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59E54D4"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2</w:t>
            </w:r>
          </w:p>
        </w:tc>
        <w:tc>
          <w:tcPr>
            <w:tcW w:w="354"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628F85F"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3</w:t>
            </w: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CCD2690"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4</w:t>
            </w:r>
          </w:p>
        </w:tc>
        <w:tc>
          <w:tcPr>
            <w:tcW w:w="3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54D11D1"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5</w:t>
            </w:r>
          </w:p>
        </w:tc>
        <w:tc>
          <w:tcPr>
            <w:tcW w:w="396"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8B15EE8"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6</w:t>
            </w:r>
          </w:p>
        </w:tc>
        <w:tc>
          <w:tcPr>
            <w:tcW w:w="396"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92DE44"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7</w:t>
            </w:r>
          </w:p>
        </w:tc>
        <w:tc>
          <w:tcPr>
            <w:tcW w:w="398"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65DDCC"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8</w:t>
            </w:r>
          </w:p>
        </w:tc>
        <w:tc>
          <w:tcPr>
            <w:tcW w:w="420"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FAC821"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9</w:t>
            </w:r>
          </w:p>
        </w:tc>
      </w:tr>
      <w:tr w:rsidR="00094034" w14:paraId="645755BA" w14:textId="77777777">
        <w:trPr>
          <w:trHeight w:val="340"/>
        </w:trPr>
        <w:tc>
          <w:tcPr>
            <w:tcW w:w="1427"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FAEAAD"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szCs w:val="21"/>
              </w:rPr>
              <w:t>CCEP</w:t>
            </w:r>
            <w:r>
              <w:rPr>
                <w:rFonts w:asciiTheme="majorEastAsia" w:eastAsiaTheme="majorEastAsia" w:hAnsiTheme="majorEastAsia" w:cs="宋体" w:hint="eastAsia"/>
                <w:color w:val="000000"/>
                <w:kern w:val="0"/>
                <w:szCs w:val="21"/>
                <w:lang w:bidi="ar"/>
              </w:rPr>
              <w:t>认证检测</w:t>
            </w:r>
          </w:p>
          <w:p w14:paraId="3B09D054"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油烟零点漂移（mg/m³）</w:t>
            </w: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28A0C6C"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0.12</w:t>
            </w:r>
          </w:p>
        </w:tc>
        <w:tc>
          <w:tcPr>
            <w:tcW w:w="437"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50B3FEA"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0.173</w:t>
            </w:r>
          </w:p>
        </w:tc>
        <w:tc>
          <w:tcPr>
            <w:tcW w:w="354"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B9F9BBA"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0.1</w:t>
            </w: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25DD04"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0.15</w:t>
            </w:r>
          </w:p>
        </w:tc>
        <w:tc>
          <w:tcPr>
            <w:tcW w:w="3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89CC4B9"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0.04</w:t>
            </w:r>
          </w:p>
        </w:tc>
        <w:tc>
          <w:tcPr>
            <w:tcW w:w="396"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33BC55"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0.1</w:t>
            </w:r>
          </w:p>
        </w:tc>
        <w:tc>
          <w:tcPr>
            <w:tcW w:w="396"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CCDB86"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0.2</w:t>
            </w:r>
          </w:p>
        </w:tc>
        <w:tc>
          <w:tcPr>
            <w:tcW w:w="398"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60E8AEE"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0.02</w:t>
            </w:r>
          </w:p>
        </w:tc>
        <w:tc>
          <w:tcPr>
            <w:tcW w:w="420"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6F4B1D7"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0.18</w:t>
            </w:r>
          </w:p>
        </w:tc>
      </w:tr>
      <w:tr w:rsidR="00094034" w14:paraId="1D526D8E" w14:textId="77777777">
        <w:trPr>
          <w:trHeight w:val="340"/>
        </w:trPr>
        <w:tc>
          <w:tcPr>
            <w:tcW w:w="1427" w:type="pct"/>
            <w:vMerge w:val="restart"/>
            <w:tcBorders>
              <w:top w:val="single" w:sz="4" w:space="0" w:color="000000"/>
              <w:left w:val="single" w:sz="4" w:space="0" w:color="000000"/>
              <w:right w:val="single" w:sz="4" w:space="0" w:color="000000"/>
            </w:tcBorders>
            <w:shd w:val="clear" w:color="auto" w:fill="FFFFFF" w:themeFill="background1"/>
            <w:noWrap/>
            <w:vAlign w:val="center"/>
          </w:tcPr>
          <w:p w14:paraId="0580AB7F"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技术评价检测</w:t>
            </w:r>
          </w:p>
          <w:p w14:paraId="343FE255"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零点漂移（mg/m³）</w:t>
            </w:r>
          </w:p>
        </w:tc>
        <w:tc>
          <w:tcPr>
            <w:tcW w:w="1783"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1DA9D64"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w:t>
            </w:r>
          </w:p>
        </w:tc>
        <w:tc>
          <w:tcPr>
            <w:tcW w:w="1790"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AD4B5E3"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颗粒物</w:t>
            </w:r>
          </w:p>
        </w:tc>
      </w:tr>
      <w:tr w:rsidR="00094034" w14:paraId="7E75023B" w14:textId="77777777">
        <w:trPr>
          <w:trHeight w:val="340"/>
        </w:trPr>
        <w:tc>
          <w:tcPr>
            <w:tcW w:w="1427" w:type="pct"/>
            <w:vMerge/>
            <w:tcBorders>
              <w:left w:val="single" w:sz="4" w:space="0" w:color="000000"/>
              <w:bottom w:val="single" w:sz="4" w:space="0" w:color="000000"/>
              <w:right w:val="single" w:sz="4" w:space="0" w:color="000000"/>
            </w:tcBorders>
            <w:shd w:val="clear" w:color="auto" w:fill="FFFFFF" w:themeFill="background1"/>
            <w:noWrap/>
            <w:vAlign w:val="center"/>
          </w:tcPr>
          <w:p w14:paraId="7E419AE0" w14:textId="77777777" w:rsidR="00094034" w:rsidRDefault="00094034">
            <w:pPr>
              <w:widowControl/>
              <w:jc w:val="center"/>
              <w:textAlignment w:val="center"/>
              <w:rPr>
                <w:rFonts w:asciiTheme="majorEastAsia" w:eastAsiaTheme="majorEastAsia" w:hAnsiTheme="majorEastAsia" w:hint="eastAsia"/>
                <w:szCs w:val="21"/>
              </w:rPr>
            </w:pPr>
          </w:p>
        </w:tc>
        <w:tc>
          <w:tcPr>
            <w:tcW w:w="1783"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5DF8FB7" w14:textId="77777777" w:rsidR="00094034" w:rsidRDefault="00000000">
            <w:pPr>
              <w:widowControl/>
              <w:jc w:val="center"/>
              <w:textAlignment w:val="center"/>
              <w:rPr>
                <w:rFonts w:asciiTheme="majorEastAsia" w:eastAsiaTheme="majorEastAsia" w:hAnsiTheme="majorEastAsia" w:hint="eastAsia"/>
                <w:szCs w:val="21"/>
              </w:rPr>
            </w:pPr>
            <w:r>
              <w:rPr>
                <w:rFonts w:asciiTheme="majorEastAsia" w:eastAsiaTheme="majorEastAsia" w:hAnsiTheme="majorEastAsia" w:hint="eastAsia"/>
                <w:szCs w:val="21"/>
              </w:rPr>
              <w:t>0</w:t>
            </w:r>
          </w:p>
        </w:tc>
        <w:tc>
          <w:tcPr>
            <w:tcW w:w="1790"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99418F"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w:t>
            </w:r>
          </w:p>
        </w:tc>
      </w:tr>
    </w:tbl>
    <w:p w14:paraId="69E3983A"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2）示值误差。各有关标准（规范）规定不一。考虑到在线设备的实用性，示值误差与当前颗粒物监测技术发展水平一致，规定示值误差为相对误差不超过±20%。</w:t>
      </w:r>
    </w:p>
    <w:p w14:paraId="5B53E094"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3）重复性。根据编制组委托技术评价实验情况（见表4），规定重复性≤8%较为合理。</w:t>
      </w:r>
    </w:p>
    <w:p w14:paraId="3BDB831B" w14:textId="77777777" w:rsidR="00094034" w:rsidRDefault="00000000">
      <w:pPr>
        <w:pStyle w:val="a4"/>
      </w:pPr>
      <w:r>
        <w:t>表</w:t>
      </w:r>
      <w:r>
        <w:t xml:space="preserve"> </w:t>
      </w:r>
      <w:r>
        <w:fldChar w:fldCharType="begin"/>
      </w:r>
      <w:r>
        <w:instrText xml:space="preserve"> SEQ </w:instrText>
      </w:r>
      <w:r>
        <w:instrText>表</w:instrText>
      </w:r>
      <w:r>
        <w:instrText xml:space="preserve"> \* ARABIC </w:instrText>
      </w:r>
      <w:r>
        <w:fldChar w:fldCharType="separate"/>
      </w:r>
      <w:r>
        <w:t>4</w:t>
      </w:r>
      <w:r>
        <w:fldChar w:fldCharType="end"/>
      </w:r>
      <w:r>
        <w:rPr>
          <w:rFonts w:hint="eastAsia"/>
        </w:rPr>
        <w:t xml:space="preserve"> </w:t>
      </w:r>
      <w:r>
        <w:rPr>
          <w:rFonts w:hint="eastAsia"/>
        </w:rPr>
        <w:t>技术评价重复性</w:t>
      </w:r>
    </w:p>
    <w:p w14:paraId="6F416784" w14:textId="77777777" w:rsidR="00094034" w:rsidRDefault="00000000">
      <w:pPr>
        <w:spacing w:line="360" w:lineRule="auto"/>
        <w:rPr>
          <w:rFonts w:asciiTheme="majorEastAsia" w:eastAsiaTheme="majorEastAsia" w:hAnsiTheme="majorEastAsia" w:cs="宋体" w:hint="eastAsia"/>
          <w:sz w:val="24"/>
        </w:rPr>
      </w:pPr>
      <w:r>
        <w:rPr>
          <w:rFonts w:asciiTheme="majorEastAsia" w:eastAsiaTheme="majorEastAsia" w:hAnsiTheme="majorEastAsia" w:cs="宋体" w:hint="eastAsia"/>
          <w:sz w:val="24"/>
        </w:rPr>
        <w:t>评价分析日期：2024.4.16</w:t>
      </w:r>
    </w:p>
    <w:tbl>
      <w:tblPr>
        <w:tblStyle w:val="a9"/>
        <w:tblW w:w="8547" w:type="dxa"/>
        <w:tblLook w:val="04A0" w:firstRow="1" w:lastRow="0" w:firstColumn="1" w:lastColumn="0" w:noHBand="0" w:noVBand="1"/>
      </w:tblPr>
      <w:tblGrid>
        <w:gridCol w:w="3097"/>
        <w:gridCol w:w="5450"/>
      </w:tblGrid>
      <w:tr w:rsidR="00094034" w14:paraId="0E9801AA" w14:textId="77777777">
        <w:trPr>
          <w:trHeight w:val="340"/>
        </w:trPr>
        <w:tc>
          <w:tcPr>
            <w:tcW w:w="3097" w:type="dxa"/>
          </w:tcPr>
          <w:p w14:paraId="3B2D2272" w14:textId="77777777" w:rsidR="00094034" w:rsidRDefault="00094034">
            <w:pPr>
              <w:widowControl/>
              <w:jc w:val="center"/>
              <w:textAlignment w:val="center"/>
              <w:rPr>
                <w:rFonts w:asciiTheme="majorEastAsia" w:eastAsiaTheme="majorEastAsia" w:hAnsiTheme="majorEastAsia" w:cs="宋体" w:hint="eastAsia"/>
                <w:color w:val="000000"/>
                <w:kern w:val="0"/>
                <w:szCs w:val="21"/>
                <w:lang w:bidi="ar"/>
              </w:rPr>
            </w:pPr>
          </w:p>
        </w:tc>
        <w:tc>
          <w:tcPr>
            <w:tcW w:w="5450" w:type="dxa"/>
          </w:tcPr>
          <w:p w14:paraId="4D8F540B"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重复性</w:t>
            </w:r>
          </w:p>
        </w:tc>
      </w:tr>
      <w:tr w:rsidR="00094034" w14:paraId="33E168E7" w14:textId="77777777">
        <w:trPr>
          <w:trHeight w:val="340"/>
        </w:trPr>
        <w:tc>
          <w:tcPr>
            <w:tcW w:w="3097" w:type="dxa"/>
          </w:tcPr>
          <w:p w14:paraId="78849E29"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油烟浓度</w:t>
            </w:r>
          </w:p>
        </w:tc>
        <w:tc>
          <w:tcPr>
            <w:tcW w:w="5450" w:type="dxa"/>
          </w:tcPr>
          <w:p w14:paraId="12B48F12"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4.33%</w:t>
            </w:r>
          </w:p>
        </w:tc>
      </w:tr>
      <w:tr w:rsidR="00094034" w14:paraId="309D83AA" w14:textId="77777777">
        <w:trPr>
          <w:trHeight w:val="340"/>
        </w:trPr>
        <w:tc>
          <w:tcPr>
            <w:tcW w:w="3097" w:type="dxa"/>
          </w:tcPr>
          <w:p w14:paraId="698224B5"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颗粒物浓度</w:t>
            </w:r>
          </w:p>
        </w:tc>
        <w:tc>
          <w:tcPr>
            <w:tcW w:w="5450" w:type="dxa"/>
          </w:tcPr>
          <w:p w14:paraId="40C715D6"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2.76%</w:t>
            </w:r>
          </w:p>
        </w:tc>
      </w:tr>
    </w:tbl>
    <w:p w14:paraId="25D0F131"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4）高浓度淹没。参考中环协CCEP认证检测情况（见表5），规定高浓度淹没试验后仪器能正常工作且示值误差不超过±20%。</w:t>
      </w:r>
    </w:p>
    <w:p w14:paraId="5BC1B5DF" w14:textId="77777777" w:rsidR="00094034" w:rsidRDefault="00000000">
      <w:pPr>
        <w:pStyle w:val="a4"/>
      </w:pPr>
      <w:r>
        <w:t>表</w:t>
      </w:r>
      <w:r>
        <w:t xml:space="preserve"> </w:t>
      </w:r>
      <w:r>
        <w:fldChar w:fldCharType="begin"/>
      </w:r>
      <w:r>
        <w:instrText xml:space="preserve"> SEQ </w:instrText>
      </w:r>
      <w:r>
        <w:instrText>表</w:instrText>
      </w:r>
      <w:r>
        <w:instrText xml:space="preserve"> \* ARABIC </w:instrText>
      </w:r>
      <w:r>
        <w:fldChar w:fldCharType="separate"/>
      </w:r>
      <w:r>
        <w:t>5</w:t>
      </w:r>
      <w:r>
        <w:fldChar w:fldCharType="end"/>
      </w:r>
      <w:r>
        <w:rPr>
          <w:rFonts w:hint="eastAsia"/>
        </w:rPr>
        <w:t xml:space="preserve"> CCEP</w:t>
      </w:r>
      <w:r>
        <w:rPr>
          <w:rFonts w:hint="eastAsia"/>
        </w:rPr>
        <w:t>检测高浓度淹没试验情况</w:t>
      </w:r>
    </w:p>
    <w:tbl>
      <w:tblPr>
        <w:tblW w:w="7297" w:type="dxa"/>
        <w:jc w:val="center"/>
        <w:tblLayout w:type="fixed"/>
        <w:tblLook w:val="04A0" w:firstRow="1" w:lastRow="0" w:firstColumn="1" w:lastColumn="0" w:noHBand="0" w:noVBand="1"/>
      </w:tblPr>
      <w:tblGrid>
        <w:gridCol w:w="1822"/>
        <w:gridCol w:w="1095"/>
        <w:gridCol w:w="1095"/>
        <w:gridCol w:w="1095"/>
        <w:gridCol w:w="1095"/>
        <w:gridCol w:w="1095"/>
      </w:tblGrid>
      <w:tr w:rsidR="00094034" w14:paraId="75D174CC" w14:textId="77777777">
        <w:trPr>
          <w:trHeight w:val="340"/>
          <w:jc w:val="center"/>
        </w:trPr>
        <w:tc>
          <w:tcPr>
            <w:tcW w:w="1822" w:type="dxa"/>
            <w:tcBorders>
              <w:top w:val="single" w:sz="4" w:space="0" w:color="000000"/>
              <w:left w:val="single" w:sz="4" w:space="0" w:color="000000"/>
              <w:bottom w:val="single" w:sz="4" w:space="0" w:color="000000"/>
              <w:right w:val="single" w:sz="4" w:space="0" w:color="000000"/>
            </w:tcBorders>
            <w:noWrap/>
            <w:vAlign w:val="center"/>
          </w:tcPr>
          <w:p w14:paraId="316B1A62" w14:textId="77777777" w:rsidR="00094034" w:rsidRDefault="00000000">
            <w:pPr>
              <w:widowControl/>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设备厂商</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74DFEA6E" w14:textId="77777777" w:rsidR="00094034" w:rsidRDefault="00000000">
            <w:pPr>
              <w:widowControl/>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1</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4D316D14"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2</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7C32807D"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3</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38782EA7"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4</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75A27E3A"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5</w:t>
            </w:r>
          </w:p>
        </w:tc>
      </w:tr>
      <w:tr w:rsidR="00094034" w14:paraId="1918E046" w14:textId="77777777">
        <w:trPr>
          <w:trHeight w:val="340"/>
          <w:jc w:val="center"/>
        </w:trPr>
        <w:tc>
          <w:tcPr>
            <w:tcW w:w="1822" w:type="dxa"/>
            <w:tcBorders>
              <w:top w:val="single" w:sz="4" w:space="0" w:color="000000"/>
              <w:left w:val="single" w:sz="4" w:space="0" w:color="000000"/>
              <w:bottom w:val="single" w:sz="4" w:space="0" w:color="000000"/>
              <w:right w:val="single" w:sz="4" w:space="0" w:color="000000"/>
            </w:tcBorders>
            <w:noWrap/>
            <w:vAlign w:val="center"/>
          </w:tcPr>
          <w:p w14:paraId="7F7AAE84"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示值误差</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2085FA43"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-8.70%</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4EDE9D01"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-0.80%</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4D39FFD6"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9.00%</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451891BA"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-8.40%</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5A9B765E"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-18.70%</w:t>
            </w:r>
          </w:p>
        </w:tc>
      </w:tr>
    </w:tbl>
    <w:p w14:paraId="6A609506"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5）水汽影响。根据编制组委托技术评价实验情况（见表6），规定水汽影响试验仪器显示值的平均值为≤0.2mg/m³。</w:t>
      </w:r>
    </w:p>
    <w:p w14:paraId="1641FED8" w14:textId="77777777" w:rsidR="00094034" w:rsidRDefault="00000000">
      <w:pPr>
        <w:spacing w:line="360" w:lineRule="auto"/>
        <w:ind w:firstLine="560"/>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表6  技术评价水汽影响试验情况</w:t>
      </w:r>
    </w:p>
    <w:p w14:paraId="7CDA5B03" w14:textId="77777777" w:rsidR="00094034" w:rsidRDefault="00000000">
      <w:pPr>
        <w:spacing w:line="360" w:lineRule="auto"/>
        <w:ind w:firstLine="560"/>
        <w:jc w:val="left"/>
        <w:rPr>
          <w:rFonts w:asciiTheme="majorEastAsia" w:eastAsiaTheme="majorEastAsia" w:hAnsiTheme="majorEastAsia" w:cs="宋体" w:hint="eastAsia"/>
          <w:sz w:val="24"/>
        </w:rPr>
      </w:pPr>
      <w:r>
        <w:rPr>
          <w:rFonts w:asciiTheme="majorEastAsia" w:eastAsiaTheme="majorEastAsia" w:hAnsiTheme="majorEastAsia" w:cs="宋体" w:hint="eastAsia"/>
          <w:sz w:val="24"/>
        </w:rPr>
        <w:t xml:space="preserve">评价分析日期：2024.4.16  </w:t>
      </w:r>
    </w:p>
    <w:tbl>
      <w:tblPr>
        <w:tblStyle w:val="a9"/>
        <w:tblW w:w="0" w:type="auto"/>
        <w:jc w:val="center"/>
        <w:tblLook w:val="04A0" w:firstRow="1" w:lastRow="0" w:firstColumn="1" w:lastColumn="0" w:noHBand="0" w:noVBand="1"/>
      </w:tblPr>
      <w:tblGrid>
        <w:gridCol w:w="4611"/>
        <w:gridCol w:w="3502"/>
      </w:tblGrid>
      <w:tr w:rsidR="00094034" w14:paraId="36D7BB83" w14:textId="77777777">
        <w:trPr>
          <w:jc w:val="center"/>
        </w:trPr>
        <w:tc>
          <w:tcPr>
            <w:tcW w:w="4611" w:type="dxa"/>
          </w:tcPr>
          <w:p w14:paraId="5FE28B48" w14:textId="77777777" w:rsidR="00094034" w:rsidRDefault="00094034">
            <w:pPr>
              <w:widowControl/>
              <w:spacing w:line="360" w:lineRule="auto"/>
              <w:jc w:val="center"/>
              <w:textAlignment w:val="center"/>
              <w:rPr>
                <w:rFonts w:asciiTheme="majorEastAsia" w:eastAsiaTheme="majorEastAsia" w:hAnsiTheme="majorEastAsia" w:cs="宋体" w:hint="eastAsia"/>
                <w:color w:val="000000"/>
                <w:kern w:val="0"/>
                <w:sz w:val="24"/>
                <w:lang w:bidi="ar"/>
              </w:rPr>
            </w:pPr>
          </w:p>
        </w:tc>
        <w:tc>
          <w:tcPr>
            <w:tcW w:w="3502" w:type="dxa"/>
          </w:tcPr>
          <w:p w14:paraId="1106397A"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kern w:val="0"/>
                <w:sz w:val="24"/>
                <w:lang w:bidi="ar"/>
              </w:rPr>
            </w:pPr>
            <w:r>
              <w:rPr>
                <w:rFonts w:asciiTheme="majorEastAsia" w:eastAsiaTheme="majorEastAsia" w:hAnsiTheme="majorEastAsia" w:cs="宋体" w:hint="eastAsia"/>
                <w:color w:val="000000"/>
                <w:kern w:val="0"/>
                <w:szCs w:val="21"/>
                <w:lang w:bidi="ar"/>
              </w:rPr>
              <w:t>显示值</w:t>
            </w:r>
          </w:p>
        </w:tc>
      </w:tr>
      <w:tr w:rsidR="00094034" w14:paraId="0A47DC95" w14:textId="77777777">
        <w:trPr>
          <w:jc w:val="center"/>
        </w:trPr>
        <w:tc>
          <w:tcPr>
            <w:tcW w:w="4611" w:type="dxa"/>
          </w:tcPr>
          <w:p w14:paraId="0D41614B"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水汽影响试验（mg/m³）</w:t>
            </w:r>
          </w:p>
        </w:tc>
        <w:tc>
          <w:tcPr>
            <w:tcW w:w="3502" w:type="dxa"/>
          </w:tcPr>
          <w:p w14:paraId="203E1F6A"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w:t>
            </w:r>
          </w:p>
        </w:tc>
      </w:tr>
    </w:tbl>
    <w:p w14:paraId="01E60704" w14:textId="77777777" w:rsidR="00094034" w:rsidRDefault="00000000">
      <w:pPr>
        <w:spacing w:line="360" w:lineRule="auto"/>
        <w:rPr>
          <w:rFonts w:asciiTheme="majorEastAsia" w:eastAsiaTheme="majorEastAsia" w:hAnsiTheme="majorEastAsia" w:cs="宋体" w:hint="eastAsia"/>
          <w:sz w:val="24"/>
        </w:rPr>
      </w:pPr>
      <w:r>
        <w:rPr>
          <w:rFonts w:asciiTheme="majorEastAsia" w:eastAsiaTheme="majorEastAsia" w:hAnsiTheme="majorEastAsia" w:cs="宋体" w:hint="eastAsia"/>
          <w:sz w:val="24"/>
        </w:rPr>
        <w:t xml:space="preserve">    6）响应时间。根据编制组委托技术评价实验情况，响应时间为7.3s，规定响应时间为≤30s。</w:t>
      </w:r>
    </w:p>
    <w:p w14:paraId="70A7D17B" w14:textId="77777777" w:rsidR="00094034" w:rsidRDefault="00000000">
      <w:pPr>
        <w:spacing w:line="360" w:lineRule="auto"/>
        <w:rPr>
          <w:rFonts w:asciiTheme="majorEastAsia" w:eastAsiaTheme="majorEastAsia" w:hAnsiTheme="majorEastAsia" w:cs="黑体" w:hint="eastAsia"/>
          <w:sz w:val="24"/>
        </w:rPr>
      </w:pPr>
      <w:bookmarkStart w:id="13" w:name="_Toc163724759"/>
      <w:bookmarkStart w:id="14" w:name="_Toc18906"/>
      <w:r>
        <w:rPr>
          <w:rFonts w:asciiTheme="majorEastAsia" w:eastAsiaTheme="majorEastAsia" w:hAnsiTheme="majorEastAsia" w:cs="黑体" w:hint="eastAsia"/>
          <w:sz w:val="24"/>
        </w:rPr>
        <w:lastRenderedPageBreak/>
        <w:t>三、主要试验验证情况</w:t>
      </w:r>
      <w:bookmarkEnd w:id="13"/>
      <w:bookmarkEnd w:id="14"/>
    </w:p>
    <w:p w14:paraId="711C6241"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主要分为油烟发生测试系统和性能试验两部分。油烟发生测试系统为实验室检测的硬件条件。</w:t>
      </w:r>
    </w:p>
    <w:p w14:paraId="68F25138"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1 油烟发生测试系统</w:t>
      </w:r>
    </w:p>
    <w:p w14:paraId="3322CA0E"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包含油烟发生装置、模拟烟道和参考油烟颗粒物浓度监测仪、净化器及风机等辅助设备三个部分。一是油烟发生装置。符合《饮食业油烟净化设备技术要求及检测技术规范（试行）》（HJ/T 62）的规定，油烟和颗粒物在风机抽动下扩散到模拟烟道中，形成均匀、稳定的气溶胶，装置可连续发生稳定油烟1h以上。</w:t>
      </w:r>
    </w:p>
    <w:p w14:paraId="58AE4676"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二是模拟烟道。至少具有两个采样孔，被检仪器和参考油烟颗粒物浓度监测仪之间的间距应不超过1m，采样位置应符合GB 18483的相关要求，应设置在距弯头、变径管下游方向不小于3倍直径，和</w:t>
      </w:r>
      <w:proofErr w:type="gramStart"/>
      <w:r>
        <w:rPr>
          <w:rFonts w:asciiTheme="majorEastAsia" w:eastAsiaTheme="majorEastAsia" w:hAnsiTheme="majorEastAsia" w:cs="宋体" w:hint="eastAsia"/>
          <w:sz w:val="24"/>
        </w:rPr>
        <w:t>距上述</w:t>
      </w:r>
      <w:proofErr w:type="gramEnd"/>
      <w:r>
        <w:rPr>
          <w:rFonts w:asciiTheme="majorEastAsia" w:eastAsiaTheme="majorEastAsia" w:hAnsiTheme="majorEastAsia" w:cs="宋体" w:hint="eastAsia"/>
          <w:sz w:val="24"/>
        </w:rPr>
        <w:t>部件上游方向不小于1.5倍直径处，对矩形烟道，其当量直径D=2AB/(A+B)，式中A、B为边长。流速控制范围（4～12）m/s，稳定性偏差和均匀性偏差均应不大于5%。</w:t>
      </w:r>
    </w:p>
    <w:p w14:paraId="30D212BB"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三是参考油烟颗粒物浓度监测仪。为方便实验室示值误差检测，同时减轻检测成本，参照全国环境化学计量技术委员会《餐饮油烟浓度监测仪校准规范》（报批稿），引入参考油烟颗粒物浓度监测仪，并设定其技术要求为“示值误差不超过±7%，示值重复性≤5%，响应时间≤10s”，根据CCEP认证检测油烟情况和编制组委托技术评价颗粒物检测情况（见表7），“最大允许误差不超过±7%”的要求能够达到，根据前述技术评价结果，能够达到“示值重复性≤5%，响应时间≤10s”的技术要求。</w:t>
      </w:r>
    </w:p>
    <w:p w14:paraId="06255F10" w14:textId="77777777" w:rsidR="00094034" w:rsidRDefault="00000000">
      <w:pPr>
        <w:spacing w:line="360" w:lineRule="auto"/>
        <w:ind w:firstLine="560"/>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表7  CCEP认证检测油烟有关示值误差情况（建议参照表5修改）</w:t>
      </w:r>
    </w:p>
    <w:tbl>
      <w:tblPr>
        <w:tblW w:w="8365" w:type="dxa"/>
        <w:tblInd w:w="96" w:type="dxa"/>
        <w:shd w:val="clear" w:color="auto" w:fill="FFFFFF" w:themeFill="background1"/>
        <w:tblLayout w:type="fixed"/>
        <w:tblLook w:val="04A0" w:firstRow="1" w:lastRow="0" w:firstColumn="1" w:lastColumn="0" w:noHBand="0" w:noVBand="1"/>
      </w:tblPr>
      <w:tblGrid>
        <w:gridCol w:w="4737"/>
        <w:gridCol w:w="3628"/>
      </w:tblGrid>
      <w:tr w:rsidR="00094034" w14:paraId="77B0A0F8" w14:textId="77777777">
        <w:trPr>
          <w:trHeight w:val="288"/>
        </w:trPr>
        <w:tc>
          <w:tcPr>
            <w:tcW w:w="836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2BC9518"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szCs w:val="21"/>
              </w:rPr>
              <w:t>CCEP认证检测（油烟）</w:t>
            </w:r>
          </w:p>
        </w:tc>
      </w:tr>
      <w:tr w:rsidR="00094034" w14:paraId="4123C98F" w14:textId="77777777">
        <w:trPr>
          <w:trHeight w:val="288"/>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E1C2F79"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厂商</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5605A8"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示值误差</w:t>
            </w:r>
          </w:p>
        </w:tc>
      </w:tr>
      <w:tr w:rsidR="00094034" w14:paraId="0763D43B" w14:textId="77777777">
        <w:trPr>
          <w:trHeight w:val="288"/>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4F85063"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530ACDA"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-7.90%</w:t>
            </w:r>
          </w:p>
        </w:tc>
      </w:tr>
      <w:tr w:rsidR="00094034" w14:paraId="2E17EF86" w14:textId="77777777">
        <w:trPr>
          <w:trHeight w:val="288"/>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BD19548"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258A753"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-6.80%</w:t>
            </w:r>
          </w:p>
        </w:tc>
      </w:tr>
      <w:tr w:rsidR="00094034" w14:paraId="58A295C2" w14:textId="77777777">
        <w:trPr>
          <w:trHeight w:val="288"/>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74CAF62"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3F13C4A"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-6.40%</w:t>
            </w:r>
          </w:p>
        </w:tc>
      </w:tr>
      <w:tr w:rsidR="00094034" w14:paraId="3A4389DA" w14:textId="77777777">
        <w:trPr>
          <w:trHeight w:val="288"/>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0581A20"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5</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EF37FB"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-6.20%</w:t>
            </w:r>
          </w:p>
        </w:tc>
      </w:tr>
      <w:tr w:rsidR="00094034" w14:paraId="74973016" w14:textId="77777777">
        <w:trPr>
          <w:trHeight w:val="90"/>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C0C38CD"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6</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BEBEAB1"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-7.60%</w:t>
            </w:r>
          </w:p>
        </w:tc>
      </w:tr>
      <w:tr w:rsidR="00094034" w14:paraId="5A5EBE98" w14:textId="77777777">
        <w:trPr>
          <w:trHeight w:val="288"/>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71CA723"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lastRenderedPageBreak/>
              <w:t>8</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44E053"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4.00%</w:t>
            </w:r>
          </w:p>
        </w:tc>
      </w:tr>
      <w:tr w:rsidR="00094034" w14:paraId="1E292553" w14:textId="77777777">
        <w:trPr>
          <w:trHeight w:val="288"/>
        </w:trPr>
        <w:tc>
          <w:tcPr>
            <w:tcW w:w="473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FC2C361"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szCs w:val="21"/>
              </w:rPr>
              <w:t>9</w:t>
            </w:r>
          </w:p>
        </w:tc>
        <w:tc>
          <w:tcPr>
            <w:tcW w:w="3628"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DCE4B3C"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szCs w:val="21"/>
              </w:rPr>
            </w:pPr>
            <w:r>
              <w:rPr>
                <w:rFonts w:asciiTheme="majorEastAsia" w:eastAsiaTheme="majorEastAsia" w:hAnsiTheme="majorEastAsia" w:cs="宋体" w:hint="eastAsia"/>
                <w:color w:val="000000"/>
                <w:kern w:val="0"/>
                <w:szCs w:val="21"/>
                <w:lang w:bidi="ar"/>
              </w:rPr>
              <w:t>-6.80%</w:t>
            </w:r>
          </w:p>
        </w:tc>
      </w:tr>
    </w:tbl>
    <w:p w14:paraId="2B89A39E" w14:textId="77777777" w:rsidR="00094034" w:rsidRDefault="00000000">
      <w:pPr>
        <w:spacing w:line="360" w:lineRule="auto"/>
        <w:rPr>
          <w:rFonts w:asciiTheme="majorEastAsia" w:eastAsiaTheme="majorEastAsia" w:hAnsiTheme="majorEastAsia" w:cs="黑体" w:hint="eastAsia"/>
          <w:color w:val="000000" w:themeColor="text1"/>
          <w:sz w:val="24"/>
        </w:rPr>
      </w:pPr>
      <w:r>
        <w:rPr>
          <w:rFonts w:asciiTheme="majorEastAsia" w:eastAsiaTheme="majorEastAsia" w:hAnsiTheme="majorEastAsia" w:cs="黑体" w:hint="eastAsia"/>
          <w:color w:val="000000" w:themeColor="text1"/>
          <w:sz w:val="24"/>
        </w:rPr>
        <w:t>2  参考仪器溯源试验</w:t>
      </w:r>
    </w:p>
    <w:p w14:paraId="5A569C4B" w14:textId="77777777" w:rsidR="00094034" w:rsidRDefault="00000000">
      <w:pPr>
        <w:spacing w:line="360" w:lineRule="auto"/>
        <w:rPr>
          <w:rFonts w:asciiTheme="majorEastAsia" w:eastAsiaTheme="majorEastAsia" w:hAnsiTheme="majorEastAsia" w:cs="黑体" w:hint="eastAsia"/>
          <w:color w:val="000000" w:themeColor="text1"/>
          <w:sz w:val="24"/>
        </w:rPr>
      </w:pPr>
      <w:r>
        <w:rPr>
          <w:rFonts w:asciiTheme="majorEastAsia" w:eastAsiaTheme="majorEastAsia" w:hAnsiTheme="majorEastAsia" w:cs="黑体" w:hint="eastAsia"/>
          <w:color w:val="000000" w:themeColor="text1"/>
          <w:sz w:val="24"/>
        </w:rPr>
        <w:t>2.1 油烟浓度溯源</w:t>
      </w:r>
    </w:p>
    <w:p w14:paraId="47B6D66B"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t xml:space="preserve">油烟浓度溯源方法参照全国环境化学计量技术委员会《餐饮油烟浓度监测仪校准规范》（报批稿）和HJ 1077-2019进行实验，具体数据如下。 </w:t>
      </w:r>
    </w:p>
    <w:p w14:paraId="4C4C934C"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t>示值误差（指标：</w:t>
      </w:r>
      <w:r>
        <w:rPr>
          <w:rFonts w:asciiTheme="majorEastAsia" w:eastAsiaTheme="majorEastAsia" w:hAnsiTheme="majorEastAsia" w:cs="宋体"/>
          <w:color w:val="000000" w:themeColor="text1"/>
          <w:sz w:val="24"/>
        </w:rPr>
        <w:t>≤±20%</w:t>
      </w:r>
      <w:r>
        <w:rPr>
          <w:rFonts w:asciiTheme="majorEastAsia" w:eastAsiaTheme="majorEastAsia" w:hAnsiTheme="majorEastAsia" w:cs="宋体" w:hint="eastAsia"/>
          <w:color w:val="000000" w:themeColor="text1"/>
          <w:sz w:val="24"/>
        </w:rPr>
        <w:t>）</w:t>
      </w:r>
    </w:p>
    <w:p w14:paraId="30BBAEF1" w14:textId="77777777" w:rsidR="00094034" w:rsidRDefault="00000000">
      <w:pPr>
        <w:spacing w:line="360" w:lineRule="auto"/>
        <w:ind w:firstLine="420"/>
        <w:jc w:val="center"/>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2040" w:dyaOrig="720" w14:anchorId="221DB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6pt" o:ole="">
            <v:imagedata r:id="rId8" o:title=""/>
          </v:shape>
          <o:OLEObject Type="Embed" ProgID="Equation.3" ShapeID="_x0000_i1025" DrawAspect="Content" ObjectID="_1820314557" r:id="rId9"/>
        </w:object>
      </w:r>
      <w:r>
        <w:rPr>
          <w:rFonts w:asciiTheme="majorEastAsia" w:eastAsiaTheme="majorEastAsia" w:hAnsiTheme="majorEastAsia" w:cs="宋体" w:hint="eastAsia"/>
          <w:color w:val="000000" w:themeColor="text1"/>
          <w:sz w:val="24"/>
        </w:rPr>
        <w:tab/>
      </w:r>
    </w:p>
    <w:p w14:paraId="2B330F58"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300" w:dyaOrig="360" w14:anchorId="6825C02F">
          <v:shape id="_x0000_i1026" type="#_x0000_t75" style="width:15pt;height:18pt" o:ole="">
            <v:imagedata r:id="rId10" o:title=""/>
          </v:shape>
          <o:OLEObject Type="Embed" ProgID="Equation.3" ShapeID="_x0000_i1026" DrawAspect="Content" ObjectID="_1820314558" r:id="rId11"/>
        </w:object>
      </w:r>
      <w:r>
        <w:rPr>
          <w:rFonts w:asciiTheme="majorEastAsia" w:eastAsiaTheme="majorEastAsia" w:hAnsiTheme="majorEastAsia" w:cs="宋体" w:hint="eastAsia"/>
          <w:color w:val="000000" w:themeColor="text1"/>
          <w:sz w:val="24"/>
        </w:rPr>
        <w:t>——示值误差</w:t>
      </w:r>
      <w:r>
        <w:rPr>
          <w:rFonts w:asciiTheme="majorEastAsia" w:eastAsiaTheme="majorEastAsia" w:hAnsiTheme="majorEastAsia" w:cs="宋体"/>
          <w:color w:val="000000" w:themeColor="text1"/>
          <w:sz w:val="24"/>
        </w:rPr>
        <w:t>，%</w:t>
      </w:r>
      <w:r>
        <w:rPr>
          <w:rFonts w:asciiTheme="majorEastAsia" w:eastAsiaTheme="majorEastAsia" w:hAnsiTheme="majorEastAsia" w:cs="宋体" w:hint="eastAsia"/>
          <w:color w:val="000000" w:themeColor="text1"/>
          <w:sz w:val="24"/>
        </w:rPr>
        <w:t>；</w:t>
      </w:r>
    </w:p>
    <w:p w14:paraId="60E07ADC"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285" w:dyaOrig="360" w14:anchorId="0B4AC669">
          <v:shape id="_x0000_i1027" type="#_x0000_t75" style="width:14.25pt;height:18pt" o:ole="">
            <v:imagedata r:id="rId12" o:title=""/>
          </v:shape>
          <o:OLEObject Type="Embed" ProgID="Equation.3" ShapeID="_x0000_i1027" DrawAspect="Content" ObjectID="_1820314559" r:id="rId13"/>
        </w:object>
      </w:r>
      <w:r>
        <w:rPr>
          <w:rFonts w:asciiTheme="majorEastAsia" w:eastAsiaTheme="majorEastAsia" w:hAnsiTheme="majorEastAsia" w:cs="宋体" w:hint="eastAsia"/>
          <w:color w:val="000000" w:themeColor="text1"/>
          <w:sz w:val="24"/>
        </w:rPr>
        <w:t>——参考</w:t>
      </w:r>
      <w:proofErr w:type="gramStart"/>
      <w:r>
        <w:rPr>
          <w:rFonts w:asciiTheme="majorEastAsia" w:eastAsiaTheme="majorEastAsia" w:hAnsiTheme="majorEastAsia" w:cs="宋体" w:hint="eastAsia"/>
          <w:color w:val="000000" w:themeColor="text1"/>
          <w:sz w:val="24"/>
        </w:rPr>
        <w:t>仪器第</w:t>
      </w:r>
      <w:proofErr w:type="gramEnd"/>
      <w:r>
        <w:rPr>
          <w:rFonts w:asciiTheme="majorEastAsia" w:eastAsiaTheme="majorEastAsia" w:hAnsiTheme="majorEastAsia" w:cs="宋体"/>
          <w:color w:val="000000" w:themeColor="text1"/>
          <w:sz w:val="24"/>
        </w:rPr>
        <w:t xml:space="preserve"> </w:t>
      </w:r>
      <w:proofErr w:type="spellStart"/>
      <w:r>
        <w:rPr>
          <w:rFonts w:asciiTheme="majorEastAsia" w:eastAsiaTheme="majorEastAsia" w:hAnsiTheme="majorEastAsia" w:cs="宋体"/>
          <w:color w:val="000000" w:themeColor="text1"/>
          <w:sz w:val="24"/>
        </w:rPr>
        <w:t>i</w:t>
      </w:r>
      <w:proofErr w:type="spellEnd"/>
      <w:r>
        <w:rPr>
          <w:rFonts w:asciiTheme="majorEastAsia" w:eastAsiaTheme="majorEastAsia" w:hAnsiTheme="majorEastAsia" w:cs="宋体"/>
          <w:color w:val="000000" w:themeColor="text1"/>
          <w:sz w:val="24"/>
        </w:rPr>
        <w:t xml:space="preserve"> </w:t>
      </w:r>
      <w:r>
        <w:rPr>
          <w:rFonts w:asciiTheme="majorEastAsia" w:eastAsiaTheme="majorEastAsia" w:hAnsiTheme="majorEastAsia" w:cs="宋体" w:hint="eastAsia"/>
          <w:color w:val="000000" w:themeColor="text1"/>
          <w:sz w:val="24"/>
        </w:rPr>
        <w:t>次的测量平均值，</w:t>
      </w:r>
      <w:r>
        <w:rPr>
          <w:rFonts w:asciiTheme="majorEastAsia" w:eastAsiaTheme="majorEastAsia" w:hAnsiTheme="majorEastAsia" w:cs="宋体"/>
          <w:color w:val="000000" w:themeColor="text1"/>
          <w:sz w:val="24"/>
        </w:rPr>
        <w:t>mg/m³</w:t>
      </w:r>
      <w:r>
        <w:rPr>
          <w:rFonts w:asciiTheme="majorEastAsia" w:eastAsiaTheme="majorEastAsia" w:hAnsiTheme="majorEastAsia" w:cs="宋体" w:hint="eastAsia"/>
          <w:color w:val="000000" w:themeColor="text1"/>
          <w:sz w:val="24"/>
        </w:rPr>
        <w:t>；</w:t>
      </w:r>
    </w:p>
    <w:p w14:paraId="1ED6263C"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345" w:dyaOrig="360" w14:anchorId="4EAA5CDF">
          <v:shape id="_x0000_i1028" type="#_x0000_t75" style="width:17.25pt;height:18pt" o:ole="">
            <v:imagedata r:id="rId14" o:title=""/>
          </v:shape>
          <o:OLEObject Type="Embed" ProgID="Equation.3" ShapeID="_x0000_i1028" DrawAspect="Content" ObjectID="_1820314560" r:id="rId15"/>
        </w:object>
      </w:r>
      <w:r>
        <w:rPr>
          <w:rFonts w:asciiTheme="majorEastAsia" w:eastAsiaTheme="majorEastAsia" w:hAnsiTheme="majorEastAsia" w:cs="宋体" w:hint="eastAsia"/>
          <w:color w:val="000000" w:themeColor="text1"/>
          <w:sz w:val="24"/>
        </w:rPr>
        <w:t>——</w:t>
      </w:r>
      <w:proofErr w:type="gramStart"/>
      <w:r>
        <w:rPr>
          <w:rFonts w:asciiTheme="majorEastAsia" w:eastAsiaTheme="majorEastAsia" w:hAnsiTheme="majorEastAsia" w:cs="宋体" w:hint="eastAsia"/>
          <w:color w:val="000000" w:themeColor="text1"/>
          <w:sz w:val="24"/>
        </w:rPr>
        <w:t>红外测油法</w:t>
      </w:r>
      <w:proofErr w:type="gramEnd"/>
      <w:r>
        <w:rPr>
          <w:rFonts w:asciiTheme="majorEastAsia" w:eastAsiaTheme="majorEastAsia" w:hAnsiTheme="majorEastAsia" w:cs="宋体" w:hint="eastAsia"/>
          <w:color w:val="000000" w:themeColor="text1"/>
          <w:sz w:val="24"/>
        </w:rPr>
        <w:t>第</w:t>
      </w:r>
      <w:r>
        <w:rPr>
          <w:rFonts w:asciiTheme="majorEastAsia" w:eastAsiaTheme="majorEastAsia" w:hAnsiTheme="majorEastAsia" w:cs="宋体"/>
          <w:color w:val="000000" w:themeColor="text1"/>
          <w:sz w:val="24"/>
        </w:rPr>
        <w:t xml:space="preserve"> </w:t>
      </w:r>
      <w:proofErr w:type="spellStart"/>
      <w:r>
        <w:rPr>
          <w:rFonts w:asciiTheme="majorEastAsia" w:eastAsiaTheme="majorEastAsia" w:hAnsiTheme="majorEastAsia" w:cs="宋体"/>
          <w:color w:val="000000" w:themeColor="text1"/>
          <w:sz w:val="24"/>
        </w:rPr>
        <w:t>i</w:t>
      </w:r>
      <w:proofErr w:type="spellEnd"/>
      <w:r>
        <w:rPr>
          <w:rFonts w:asciiTheme="majorEastAsia" w:eastAsiaTheme="majorEastAsia" w:hAnsiTheme="majorEastAsia" w:cs="宋体"/>
          <w:color w:val="000000" w:themeColor="text1"/>
          <w:sz w:val="24"/>
        </w:rPr>
        <w:t xml:space="preserve"> </w:t>
      </w:r>
      <w:r>
        <w:rPr>
          <w:rFonts w:asciiTheme="majorEastAsia" w:eastAsiaTheme="majorEastAsia" w:hAnsiTheme="majorEastAsia" w:cs="宋体" w:hint="eastAsia"/>
          <w:color w:val="000000" w:themeColor="text1"/>
          <w:sz w:val="24"/>
        </w:rPr>
        <w:t>次的测量平均值，</w:t>
      </w:r>
      <w:r>
        <w:rPr>
          <w:rFonts w:asciiTheme="majorEastAsia" w:eastAsiaTheme="majorEastAsia" w:hAnsiTheme="majorEastAsia" w:cs="宋体"/>
          <w:color w:val="000000" w:themeColor="text1"/>
          <w:sz w:val="24"/>
        </w:rPr>
        <w:t>mg/m³</w:t>
      </w:r>
      <w:r>
        <w:rPr>
          <w:rFonts w:asciiTheme="majorEastAsia" w:eastAsiaTheme="majorEastAsia" w:hAnsiTheme="majorEastAsia" w:cs="宋体" w:hint="eastAsia"/>
          <w:color w:val="000000" w:themeColor="text1"/>
          <w:sz w:val="24"/>
        </w:rPr>
        <w:t>。</w:t>
      </w:r>
    </w:p>
    <w:p w14:paraId="18859D3F" w14:textId="77777777" w:rsidR="00094034" w:rsidRDefault="00000000">
      <w:pPr>
        <w:spacing w:line="360" w:lineRule="auto"/>
        <w:ind w:firstLineChars="100" w:firstLine="240"/>
        <w:jc w:val="center"/>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t>表8 油烟溯源试验记录</w:t>
      </w:r>
    </w:p>
    <w:tbl>
      <w:tblPr>
        <w:tblStyle w:val="a9"/>
        <w:tblW w:w="0" w:type="auto"/>
        <w:tblLook w:val="04A0" w:firstRow="1" w:lastRow="0" w:firstColumn="1" w:lastColumn="0" w:noHBand="0" w:noVBand="1"/>
      </w:tblPr>
      <w:tblGrid>
        <w:gridCol w:w="2082"/>
        <w:gridCol w:w="2072"/>
        <w:gridCol w:w="2073"/>
        <w:gridCol w:w="2069"/>
      </w:tblGrid>
      <w:tr w:rsidR="00094034" w14:paraId="401273BC" w14:textId="77777777">
        <w:trPr>
          <w:trHeight w:val="340"/>
        </w:trPr>
        <w:tc>
          <w:tcPr>
            <w:tcW w:w="2130" w:type="dxa"/>
            <w:vAlign w:val="center"/>
          </w:tcPr>
          <w:p w14:paraId="58EE3E5F"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测试日期</w:t>
            </w:r>
          </w:p>
        </w:tc>
        <w:tc>
          <w:tcPr>
            <w:tcW w:w="2130" w:type="dxa"/>
            <w:vAlign w:val="center"/>
          </w:tcPr>
          <w:p w14:paraId="46DB9D1A" w14:textId="77777777" w:rsidR="00094034" w:rsidRDefault="00000000">
            <w:pPr>
              <w:widowControl/>
              <w:jc w:val="center"/>
              <w:textAlignment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参考仪器浓度</w:t>
            </w:r>
          </w:p>
          <w:p w14:paraId="7226B912"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（mg/m³）</w:t>
            </w:r>
          </w:p>
        </w:tc>
        <w:tc>
          <w:tcPr>
            <w:tcW w:w="2131" w:type="dxa"/>
            <w:vAlign w:val="center"/>
          </w:tcPr>
          <w:p w14:paraId="5296E472" w14:textId="77777777" w:rsidR="00094034" w:rsidRDefault="00000000">
            <w:pPr>
              <w:widowControl/>
              <w:jc w:val="center"/>
              <w:textAlignment w:val="center"/>
              <w:rPr>
                <w:rFonts w:asciiTheme="majorEastAsia" w:eastAsiaTheme="majorEastAsia" w:hAnsiTheme="majorEastAsia" w:cs="宋体" w:hint="eastAsia"/>
                <w:szCs w:val="21"/>
              </w:rPr>
            </w:pPr>
            <w:proofErr w:type="gramStart"/>
            <w:r>
              <w:rPr>
                <w:rFonts w:asciiTheme="majorEastAsia" w:eastAsiaTheme="majorEastAsia" w:hAnsiTheme="majorEastAsia" w:cs="宋体" w:hint="eastAsia"/>
                <w:color w:val="000000"/>
                <w:kern w:val="0"/>
                <w:szCs w:val="21"/>
                <w:lang w:bidi="ar"/>
              </w:rPr>
              <w:t>红外测油法</w:t>
            </w:r>
            <w:proofErr w:type="gramEnd"/>
            <w:r>
              <w:rPr>
                <w:rFonts w:asciiTheme="majorEastAsia" w:eastAsiaTheme="majorEastAsia" w:hAnsiTheme="majorEastAsia" w:cs="宋体" w:hint="eastAsia"/>
                <w:color w:val="000000"/>
                <w:kern w:val="0"/>
                <w:szCs w:val="21"/>
                <w:lang w:bidi="ar"/>
              </w:rPr>
              <w:t>浓度（mg/m³）</w:t>
            </w:r>
          </w:p>
        </w:tc>
        <w:tc>
          <w:tcPr>
            <w:tcW w:w="2131" w:type="dxa"/>
            <w:vAlign w:val="center"/>
          </w:tcPr>
          <w:p w14:paraId="01C6BB77"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示值误差</w:t>
            </w:r>
          </w:p>
        </w:tc>
      </w:tr>
      <w:tr w:rsidR="00094034" w14:paraId="07BC07DC" w14:textId="77777777">
        <w:trPr>
          <w:trHeight w:val="340"/>
        </w:trPr>
        <w:tc>
          <w:tcPr>
            <w:tcW w:w="2130" w:type="dxa"/>
            <w:vAlign w:val="center"/>
          </w:tcPr>
          <w:p w14:paraId="1EEED349"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20</w:t>
            </w:r>
            <w:r>
              <w:rPr>
                <w:rFonts w:asciiTheme="majorEastAsia" w:eastAsiaTheme="majorEastAsia" w:hAnsiTheme="majorEastAsia" w:cs="宋体"/>
                <w:color w:val="000000"/>
                <w:kern w:val="0"/>
                <w:szCs w:val="21"/>
                <w:lang w:bidi="ar"/>
              </w:rPr>
              <w:t>25</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5</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 xml:space="preserve">4 </w:t>
            </w:r>
          </w:p>
        </w:tc>
        <w:tc>
          <w:tcPr>
            <w:tcW w:w="2130" w:type="dxa"/>
            <w:vAlign w:val="center"/>
          </w:tcPr>
          <w:p w14:paraId="4B2C55C9"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1.29</w:t>
            </w:r>
          </w:p>
        </w:tc>
        <w:tc>
          <w:tcPr>
            <w:tcW w:w="2131" w:type="dxa"/>
            <w:vAlign w:val="center"/>
          </w:tcPr>
          <w:p w14:paraId="7EE3D7AF"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1.33</w:t>
            </w:r>
          </w:p>
        </w:tc>
        <w:tc>
          <w:tcPr>
            <w:tcW w:w="2131" w:type="dxa"/>
            <w:vAlign w:val="center"/>
          </w:tcPr>
          <w:p w14:paraId="05D64259"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-3.01%</w:t>
            </w:r>
          </w:p>
        </w:tc>
      </w:tr>
      <w:tr w:rsidR="00094034" w14:paraId="047B9C98" w14:textId="77777777">
        <w:trPr>
          <w:trHeight w:val="340"/>
        </w:trPr>
        <w:tc>
          <w:tcPr>
            <w:tcW w:w="2130" w:type="dxa"/>
            <w:vAlign w:val="center"/>
          </w:tcPr>
          <w:p w14:paraId="538626E3"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202</w:t>
            </w:r>
            <w:r>
              <w:rPr>
                <w:rFonts w:asciiTheme="majorEastAsia" w:eastAsiaTheme="majorEastAsia" w:hAnsiTheme="majorEastAsia" w:cs="宋体"/>
                <w:color w:val="000000"/>
                <w:kern w:val="0"/>
                <w:szCs w:val="21"/>
                <w:lang w:bidi="ar"/>
              </w:rPr>
              <w:t>5</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5</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5</w:t>
            </w:r>
          </w:p>
        </w:tc>
        <w:tc>
          <w:tcPr>
            <w:tcW w:w="2130" w:type="dxa"/>
            <w:vAlign w:val="center"/>
          </w:tcPr>
          <w:p w14:paraId="5C8EB37F"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 xml:space="preserve">3.26 </w:t>
            </w:r>
          </w:p>
        </w:tc>
        <w:tc>
          <w:tcPr>
            <w:tcW w:w="2131" w:type="dxa"/>
            <w:vAlign w:val="center"/>
          </w:tcPr>
          <w:p w14:paraId="6988F197"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3.20</w:t>
            </w:r>
          </w:p>
        </w:tc>
        <w:tc>
          <w:tcPr>
            <w:tcW w:w="2131" w:type="dxa"/>
            <w:vAlign w:val="center"/>
          </w:tcPr>
          <w:p w14:paraId="45A9219F"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1.87%</w:t>
            </w:r>
          </w:p>
        </w:tc>
      </w:tr>
      <w:tr w:rsidR="00094034" w14:paraId="011B1E13" w14:textId="77777777">
        <w:trPr>
          <w:trHeight w:val="340"/>
        </w:trPr>
        <w:tc>
          <w:tcPr>
            <w:tcW w:w="2130" w:type="dxa"/>
            <w:vAlign w:val="center"/>
          </w:tcPr>
          <w:p w14:paraId="15331FCE"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202</w:t>
            </w:r>
            <w:r>
              <w:rPr>
                <w:rFonts w:asciiTheme="majorEastAsia" w:eastAsiaTheme="majorEastAsia" w:hAnsiTheme="majorEastAsia" w:cs="宋体"/>
                <w:color w:val="000000"/>
                <w:kern w:val="0"/>
                <w:szCs w:val="21"/>
                <w:lang w:bidi="ar"/>
              </w:rPr>
              <w:t>5</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5</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6</w:t>
            </w:r>
          </w:p>
        </w:tc>
        <w:tc>
          <w:tcPr>
            <w:tcW w:w="2130" w:type="dxa"/>
            <w:vAlign w:val="center"/>
          </w:tcPr>
          <w:p w14:paraId="6557D83B"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7.10</w:t>
            </w:r>
          </w:p>
        </w:tc>
        <w:tc>
          <w:tcPr>
            <w:tcW w:w="2131" w:type="dxa"/>
            <w:vAlign w:val="center"/>
          </w:tcPr>
          <w:p w14:paraId="760F4AB0"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szCs w:val="21"/>
              </w:rPr>
              <w:t>7.12</w:t>
            </w:r>
          </w:p>
        </w:tc>
        <w:tc>
          <w:tcPr>
            <w:tcW w:w="2131" w:type="dxa"/>
            <w:vAlign w:val="center"/>
          </w:tcPr>
          <w:p w14:paraId="43B13A6C" w14:textId="77777777" w:rsidR="00094034" w:rsidRDefault="00000000">
            <w:pPr>
              <w:widowControl/>
              <w:jc w:val="center"/>
              <w:textAlignment w:val="center"/>
              <w:rPr>
                <w:rFonts w:asciiTheme="majorEastAsia" w:eastAsiaTheme="majorEastAsia" w:hAnsiTheme="majorEastAsia" w:cs="宋体" w:hint="eastAsia"/>
                <w:szCs w:val="21"/>
              </w:rPr>
            </w:pPr>
            <w:r>
              <w:rPr>
                <w:rFonts w:asciiTheme="majorEastAsia" w:eastAsiaTheme="majorEastAsia" w:hAnsiTheme="majorEastAsia" w:cs="宋体" w:hint="eastAsia"/>
                <w:color w:val="000000"/>
                <w:kern w:val="0"/>
                <w:szCs w:val="21"/>
                <w:lang w:bidi="ar"/>
              </w:rPr>
              <w:t>-0.28%</w:t>
            </w:r>
          </w:p>
        </w:tc>
      </w:tr>
    </w:tbl>
    <w:p w14:paraId="085D7468" w14:textId="77777777" w:rsidR="00094034" w:rsidRDefault="00000000">
      <w:pPr>
        <w:spacing w:line="360" w:lineRule="auto"/>
        <w:rPr>
          <w:rFonts w:asciiTheme="majorEastAsia" w:eastAsiaTheme="majorEastAsia" w:hAnsiTheme="majorEastAsia" w:cs="黑体" w:hint="eastAsia"/>
          <w:color w:val="000000" w:themeColor="text1"/>
          <w:sz w:val="24"/>
        </w:rPr>
      </w:pPr>
      <w:r>
        <w:rPr>
          <w:rFonts w:asciiTheme="majorEastAsia" w:eastAsiaTheme="majorEastAsia" w:hAnsiTheme="majorEastAsia" w:cs="黑体" w:hint="eastAsia"/>
          <w:color w:val="000000" w:themeColor="text1"/>
          <w:sz w:val="24"/>
        </w:rPr>
        <w:t>2.2 颗粒物浓度溯源</w:t>
      </w:r>
    </w:p>
    <w:p w14:paraId="0447616C"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t>颗粒物浓度溯源具体参照DB11/T 1485—2017进行 实验。</w:t>
      </w:r>
    </w:p>
    <w:p w14:paraId="41712E95"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t>示值误差（指标：</w:t>
      </w:r>
      <w:r>
        <w:rPr>
          <w:rFonts w:asciiTheme="majorEastAsia" w:eastAsiaTheme="majorEastAsia" w:hAnsiTheme="majorEastAsia" w:cs="宋体"/>
          <w:color w:val="000000" w:themeColor="text1"/>
          <w:sz w:val="24"/>
        </w:rPr>
        <w:t>≤±20%</w:t>
      </w:r>
      <w:r>
        <w:rPr>
          <w:rFonts w:asciiTheme="majorEastAsia" w:eastAsiaTheme="majorEastAsia" w:hAnsiTheme="majorEastAsia" w:cs="宋体" w:hint="eastAsia"/>
          <w:color w:val="000000" w:themeColor="text1"/>
          <w:sz w:val="24"/>
        </w:rPr>
        <w:t>）</w:t>
      </w:r>
    </w:p>
    <w:p w14:paraId="2E14F11F" w14:textId="77777777" w:rsidR="00094034" w:rsidRDefault="00000000">
      <w:pPr>
        <w:spacing w:line="360" w:lineRule="auto"/>
        <w:ind w:firstLine="420"/>
        <w:jc w:val="center"/>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2040" w:dyaOrig="720" w14:anchorId="78B9AFB9">
          <v:shape id="_x0000_i1029" type="#_x0000_t75" style="width:102pt;height:36pt" o:ole="">
            <v:imagedata r:id="rId8" o:title=""/>
          </v:shape>
          <o:OLEObject Type="Embed" ProgID="Equation.3" ShapeID="_x0000_i1029" DrawAspect="Content" ObjectID="_1820314561" r:id="rId16"/>
        </w:object>
      </w:r>
      <w:r>
        <w:rPr>
          <w:rFonts w:asciiTheme="majorEastAsia" w:eastAsiaTheme="majorEastAsia" w:hAnsiTheme="majorEastAsia" w:cs="宋体" w:hint="eastAsia"/>
          <w:color w:val="000000" w:themeColor="text1"/>
          <w:sz w:val="24"/>
        </w:rPr>
        <w:tab/>
      </w:r>
    </w:p>
    <w:p w14:paraId="7472EC1A"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300" w:dyaOrig="360" w14:anchorId="06974ED0">
          <v:shape id="_x0000_i1030" type="#_x0000_t75" style="width:15pt;height:18pt" o:ole="">
            <v:imagedata r:id="rId10" o:title=""/>
          </v:shape>
          <o:OLEObject Type="Embed" ProgID="Equation.3" ShapeID="_x0000_i1030" DrawAspect="Content" ObjectID="_1820314562" r:id="rId17"/>
        </w:object>
      </w:r>
      <w:r>
        <w:rPr>
          <w:rFonts w:asciiTheme="majorEastAsia" w:eastAsiaTheme="majorEastAsia" w:hAnsiTheme="majorEastAsia" w:cs="宋体" w:hint="eastAsia"/>
          <w:color w:val="000000" w:themeColor="text1"/>
          <w:sz w:val="24"/>
        </w:rPr>
        <w:t>——示值误差</w:t>
      </w:r>
      <w:r>
        <w:rPr>
          <w:rFonts w:asciiTheme="majorEastAsia" w:eastAsiaTheme="majorEastAsia" w:hAnsiTheme="majorEastAsia" w:cs="宋体"/>
          <w:color w:val="000000" w:themeColor="text1"/>
          <w:sz w:val="24"/>
        </w:rPr>
        <w:t>，%</w:t>
      </w:r>
      <w:r>
        <w:rPr>
          <w:rFonts w:asciiTheme="majorEastAsia" w:eastAsiaTheme="majorEastAsia" w:hAnsiTheme="majorEastAsia" w:cs="宋体" w:hint="eastAsia"/>
          <w:color w:val="000000" w:themeColor="text1"/>
          <w:sz w:val="24"/>
        </w:rPr>
        <w:t>；</w:t>
      </w:r>
    </w:p>
    <w:p w14:paraId="77D8AA56"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285" w:dyaOrig="360" w14:anchorId="75B725C0">
          <v:shape id="_x0000_i1031" type="#_x0000_t75" style="width:14.25pt;height:18pt" o:ole="">
            <v:imagedata r:id="rId12" o:title=""/>
          </v:shape>
          <o:OLEObject Type="Embed" ProgID="Equation.3" ShapeID="_x0000_i1031" DrawAspect="Content" ObjectID="_1820314563" r:id="rId18"/>
        </w:object>
      </w:r>
      <w:r>
        <w:rPr>
          <w:rFonts w:asciiTheme="majorEastAsia" w:eastAsiaTheme="majorEastAsia" w:hAnsiTheme="majorEastAsia" w:cs="宋体" w:hint="eastAsia"/>
          <w:color w:val="000000" w:themeColor="text1"/>
          <w:sz w:val="24"/>
        </w:rPr>
        <w:t>——参考</w:t>
      </w:r>
      <w:proofErr w:type="gramStart"/>
      <w:r>
        <w:rPr>
          <w:rFonts w:asciiTheme="majorEastAsia" w:eastAsiaTheme="majorEastAsia" w:hAnsiTheme="majorEastAsia" w:cs="宋体" w:hint="eastAsia"/>
          <w:color w:val="000000" w:themeColor="text1"/>
          <w:sz w:val="24"/>
        </w:rPr>
        <w:t>仪器第</w:t>
      </w:r>
      <w:proofErr w:type="gramEnd"/>
      <w:r>
        <w:rPr>
          <w:rFonts w:asciiTheme="majorEastAsia" w:eastAsiaTheme="majorEastAsia" w:hAnsiTheme="majorEastAsia" w:cs="宋体"/>
          <w:color w:val="000000" w:themeColor="text1"/>
          <w:sz w:val="24"/>
        </w:rPr>
        <w:t xml:space="preserve"> </w:t>
      </w:r>
      <w:proofErr w:type="spellStart"/>
      <w:r>
        <w:rPr>
          <w:rFonts w:asciiTheme="majorEastAsia" w:eastAsiaTheme="majorEastAsia" w:hAnsiTheme="majorEastAsia" w:cs="宋体"/>
          <w:color w:val="000000" w:themeColor="text1"/>
          <w:sz w:val="24"/>
        </w:rPr>
        <w:t>i</w:t>
      </w:r>
      <w:proofErr w:type="spellEnd"/>
      <w:r>
        <w:rPr>
          <w:rFonts w:asciiTheme="majorEastAsia" w:eastAsiaTheme="majorEastAsia" w:hAnsiTheme="majorEastAsia" w:cs="宋体"/>
          <w:color w:val="000000" w:themeColor="text1"/>
          <w:sz w:val="24"/>
        </w:rPr>
        <w:t xml:space="preserve"> </w:t>
      </w:r>
      <w:r>
        <w:rPr>
          <w:rFonts w:asciiTheme="majorEastAsia" w:eastAsiaTheme="majorEastAsia" w:hAnsiTheme="majorEastAsia" w:cs="宋体" w:hint="eastAsia"/>
          <w:color w:val="000000" w:themeColor="text1"/>
          <w:sz w:val="24"/>
        </w:rPr>
        <w:t>次的测量平均值，</w:t>
      </w:r>
      <w:r>
        <w:rPr>
          <w:rFonts w:asciiTheme="majorEastAsia" w:eastAsiaTheme="majorEastAsia" w:hAnsiTheme="majorEastAsia" w:cs="宋体"/>
          <w:color w:val="000000" w:themeColor="text1"/>
          <w:sz w:val="24"/>
        </w:rPr>
        <w:t>mg/m³</w:t>
      </w:r>
      <w:r>
        <w:rPr>
          <w:rFonts w:asciiTheme="majorEastAsia" w:eastAsiaTheme="majorEastAsia" w:hAnsiTheme="majorEastAsia" w:cs="宋体" w:hint="eastAsia"/>
          <w:color w:val="000000" w:themeColor="text1"/>
          <w:sz w:val="24"/>
        </w:rPr>
        <w:t>；</w:t>
      </w:r>
    </w:p>
    <w:p w14:paraId="4E0BA00D" w14:textId="77777777" w:rsidR="00094034" w:rsidRDefault="00000000">
      <w:pPr>
        <w:spacing w:line="360" w:lineRule="auto"/>
        <w:ind w:firstLine="42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object w:dxaOrig="345" w:dyaOrig="360" w14:anchorId="0E302CB1">
          <v:shape id="_x0000_i1032" type="#_x0000_t75" style="width:17.25pt;height:18pt" o:ole="">
            <v:imagedata r:id="rId14" o:title=""/>
          </v:shape>
          <o:OLEObject Type="Embed" ProgID="Equation.3" ShapeID="_x0000_i1032" DrawAspect="Content" ObjectID="_1820314564" r:id="rId19"/>
        </w:object>
      </w:r>
      <w:r>
        <w:rPr>
          <w:rFonts w:asciiTheme="majorEastAsia" w:eastAsiaTheme="majorEastAsia" w:hAnsiTheme="majorEastAsia" w:cs="宋体" w:hint="eastAsia"/>
          <w:color w:val="000000" w:themeColor="text1"/>
          <w:sz w:val="24"/>
        </w:rPr>
        <w:t>——手工称重法第</w:t>
      </w:r>
      <w:r>
        <w:rPr>
          <w:rFonts w:asciiTheme="majorEastAsia" w:eastAsiaTheme="majorEastAsia" w:hAnsiTheme="majorEastAsia" w:cs="宋体"/>
          <w:color w:val="000000" w:themeColor="text1"/>
          <w:sz w:val="24"/>
        </w:rPr>
        <w:t xml:space="preserve"> </w:t>
      </w:r>
      <w:proofErr w:type="spellStart"/>
      <w:r>
        <w:rPr>
          <w:rFonts w:asciiTheme="majorEastAsia" w:eastAsiaTheme="majorEastAsia" w:hAnsiTheme="majorEastAsia" w:cs="宋体"/>
          <w:color w:val="000000" w:themeColor="text1"/>
          <w:sz w:val="24"/>
        </w:rPr>
        <w:t>i</w:t>
      </w:r>
      <w:proofErr w:type="spellEnd"/>
      <w:r>
        <w:rPr>
          <w:rFonts w:asciiTheme="majorEastAsia" w:eastAsiaTheme="majorEastAsia" w:hAnsiTheme="majorEastAsia" w:cs="宋体"/>
          <w:color w:val="000000" w:themeColor="text1"/>
          <w:sz w:val="24"/>
        </w:rPr>
        <w:t xml:space="preserve"> </w:t>
      </w:r>
      <w:r>
        <w:rPr>
          <w:rFonts w:asciiTheme="majorEastAsia" w:eastAsiaTheme="majorEastAsia" w:hAnsiTheme="majorEastAsia" w:cs="宋体" w:hint="eastAsia"/>
          <w:color w:val="000000" w:themeColor="text1"/>
          <w:sz w:val="24"/>
        </w:rPr>
        <w:t>次的测量平均值，</w:t>
      </w:r>
      <w:r>
        <w:rPr>
          <w:rFonts w:asciiTheme="majorEastAsia" w:eastAsiaTheme="majorEastAsia" w:hAnsiTheme="majorEastAsia" w:cs="宋体"/>
          <w:color w:val="000000" w:themeColor="text1"/>
          <w:sz w:val="24"/>
        </w:rPr>
        <w:t>mg/m³</w:t>
      </w:r>
      <w:r>
        <w:rPr>
          <w:rFonts w:asciiTheme="majorEastAsia" w:eastAsiaTheme="majorEastAsia" w:hAnsiTheme="majorEastAsia" w:cs="宋体" w:hint="eastAsia"/>
          <w:color w:val="000000" w:themeColor="text1"/>
          <w:sz w:val="24"/>
        </w:rPr>
        <w:t>。</w:t>
      </w:r>
    </w:p>
    <w:p w14:paraId="2F07E179" w14:textId="77777777" w:rsidR="00094034" w:rsidRDefault="00000000">
      <w:pPr>
        <w:spacing w:line="360" w:lineRule="auto"/>
        <w:jc w:val="center"/>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t>表9 颗粒物溯源试验记录</w:t>
      </w:r>
    </w:p>
    <w:tbl>
      <w:tblPr>
        <w:tblStyle w:val="a9"/>
        <w:tblW w:w="0" w:type="auto"/>
        <w:tblLook w:val="04A0" w:firstRow="1" w:lastRow="0" w:firstColumn="1" w:lastColumn="0" w:noHBand="0" w:noVBand="1"/>
      </w:tblPr>
      <w:tblGrid>
        <w:gridCol w:w="2082"/>
        <w:gridCol w:w="2072"/>
        <w:gridCol w:w="2073"/>
        <w:gridCol w:w="2069"/>
      </w:tblGrid>
      <w:tr w:rsidR="00094034" w14:paraId="329F0B73" w14:textId="77777777">
        <w:tc>
          <w:tcPr>
            <w:tcW w:w="2130" w:type="dxa"/>
            <w:vAlign w:val="center"/>
          </w:tcPr>
          <w:p w14:paraId="5C61B520"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测试日期</w:t>
            </w:r>
          </w:p>
        </w:tc>
        <w:tc>
          <w:tcPr>
            <w:tcW w:w="2130" w:type="dxa"/>
            <w:vAlign w:val="center"/>
          </w:tcPr>
          <w:p w14:paraId="2B6E621F"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kern w:val="0"/>
                <w:szCs w:val="21"/>
                <w:lang w:bidi="ar"/>
              </w:rPr>
            </w:pPr>
            <w:r>
              <w:rPr>
                <w:rFonts w:asciiTheme="majorEastAsia" w:eastAsiaTheme="majorEastAsia" w:hAnsiTheme="majorEastAsia" w:cs="宋体" w:hint="eastAsia"/>
                <w:color w:val="000000" w:themeColor="text1"/>
                <w:kern w:val="0"/>
                <w:szCs w:val="21"/>
                <w:lang w:bidi="ar"/>
              </w:rPr>
              <w:t>参考仪器浓度</w:t>
            </w:r>
          </w:p>
          <w:p w14:paraId="44B6FC67"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（mg/m³）</w:t>
            </w:r>
          </w:p>
        </w:tc>
        <w:tc>
          <w:tcPr>
            <w:tcW w:w="2131" w:type="dxa"/>
            <w:vAlign w:val="center"/>
          </w:tcPr>
          <w:p w14:paraId="3AFDDDA6"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手工称重法浓度（mg/m³）</w:t>
            </w:r>
          </w:p>
        </w:tc>
        <w:tc>
          <w:tcPr>
            <w:tcW w:w="2131" w:type="dxa"/>
            <w:vAlign w:val="center"/>
          </w:tcPr>
          <w:p w14:paraId="382D082A"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示值误差</w:t>
            </w:r>
          </w:p>
        </w:tc>
      </w:tr>
      <w:tr w:rsidR="00094034" w14:paraId="0F6DB136" w14:textId="77777777">
        <w:tc>
          <w:tcPr>
            <w:tcW w:w="2130" w:type="dxa"/>
            <w:vAlign w:val="center"/>
          </w:tcPr>
          <w:p w14:paraId="1A870C9A"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lastRenderedPageBreak/>
              <w:t>20</w:t>
            </w:r>
            <w:r>
              <w:rPr>
                <w:rFonts w:asciiTheme="majorEastAsia" w:eastAsiaTheme="majorEastAsia" w:hAnsiTheme="majorEastAsia" w:cs="宋体"/>
                <w:color w:val="000000" w:themeColor="text1"/>
                <w:kern w:val="0"/>
                <w:szCs w:val="21"/>
                <w:lang w:bidi="ar"/>
              </w:rPr>
              <w:t>25</w:t>
            </w:r>
            <w:r>
              <w:rPr>
                <w:rFonts w:asciiTheme="majorEastAsia" w:eastAsiaTheme="majorEastAsia" w:hAnsiTheme="majorEastAsia" w:cs="宋体" w:hint="eastAsia"/>
                <w:color w:val="000000" w:themeColor="text1"/>
                <w:kern w:val="0"/>
                <w:szCs w:val="21"/>
                <w:lang w:bidi="ar"/>
              </w:rPr>
              <w:t>.</w:t>
            </w:r>
            <w:r>
              <w:rPr>
                <w:rFonts w:asciiTheme="majorEastAsia" w:eastAsiaTheme="majorEastAsia" w:hAnsiTheme="majorEastAsia" w:cs="宋体"/>
                <w:color w:val="000000" w:themeColor="text1"/>
                <w:kern w:val="0"/>
                <w:szCs w:val="21"/>
                <w:lang w:bidi="ar"/>
              </w:rPr>
              <w:t>5</w:t>
            </w:r>
            <w:r>
              <w:rPr>
                <w:rFonts w:asciiTheme="majorEastAsia" w:eastAsiaTheme="majorEastAsia" w:hAnsiTheme="majorEastAsia" w:cs="宋体" w:hint="eastAsia"/>
                <w:color w:val="000000" w:themeColor="text1"/>
                <w:kern w:val="0"/>
                <w:szCs w:val="21"/>
                <w:lang w:bidi="ar"/>
              </w:rPr>
              <w:t>.</w:t>
            </w:r>
            <w:r>
              <w:rPr>
                <w:rFonts w:asciiTheme="majorEastAsia" w:eastAsiaTheme="majorEastAsia" w:hAnsiTheme="majorEastAsia" w:cs="宋体"/>
                <w:color w:val="000000" w:themeColor="text1"/>
                <w:kern w:val="0"/>
                <w:szCs w:val="21"/>
                <w:lang w:bidi="ar"/>
              </w:rPr>
              <w:t xml:space="preserve">4 </w:t>
            </w:r>
          </w:p>
        </w:tc>
        <w:tc>
          <w:tcPr>
            <w:tcW w:w="2130" w:type="dxa"/>
            <w:vAlign w:val="center"/>
          </w:tcPr>
          <w:p w14:paraId="49FB30E8"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3.89</w:t>
            </w:r>
          </w:p>
        </w:tc>
        <w:tc>
          <w:tcPr>
            <w:tcW w:w="2131" w:type="dxa"/>
            <w:vAlign w:val="center"/>
          </w:tcPr>
          <w:p w14:paraId="449020A1"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3.83</w:t>
            </w:r>
          </w:p>
        </w:tc>
        <w:tc>
          <w:tcPr>
            <w:tcW w:w="2131" w:type="dxa"/>
            <w:vAlign w:val="center"/>
          </w:tcPr>
          <w:p w14:paraId="68408CFD"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1.57%</w:t>
            </w:r>
          </w:p>
        </w:tc>
      </w:tr>
      <w:tr w:rsidR="00094034" w14:paraId="3D4992E3" w14:textId="77777777">
        <w:tc>
          <w:tcPr>
            <w:tcW w:w="2130" w:type="dxa"/>
            <w:vAlign w:val="center"/>
          </w:tcPr>
          <w:p w14:paraId="7E341C49"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202</w:t>
            </w:r>
            <w:r>
              <w:rPr>
                <w:rFonts w:asciiTheme="majorEastAsia" w:eastAsiaTheme="majorEastAsia" w:hAnsiTheme="majorEastAsia" w:cs="宋体"/>
                <w:color w:val="000000" w:themeColor="text1"/>
                <w:kern w:val="0"/>
                <w:szCs w:val="21"/>
                <w:lang w:bidi="ar"/>
              </w:rPr>
              <w:t>5</w:t>
            </w:r>
            <w:r>
              <w:rPr>
                <w:rFonts w:asciiTheme="majorEastAsia" w:eastAsiaTheme="majorEastAsia" w:hAnsiTheme="majorEastAsia" w:cs="宋体" w:hint="eastAsia"/>
                <w:color w:val="000000" w:themeColor="text1"/>
                <w:kern w:val="0"/>
                <w:szCs w:val="21"/>
                <w:lang w:bidi="ar"/>
              </w:rPr>
              <w:t>.</w:t>
            </w:r>
            <w:r>
              <w:rPr>
                <w:rFonts w:asciiTheme="majorEastAsia" w:eastAsiaTheme="majorEastAsia" w:hAnsiTheme="majorEastAsia" w:cs="宋体"/>
                <w:color w:val="000000" w:themeColor="text1"/>
                <w:kern w:val="0"/>
                <w:szCs w:val="21"/>
                <w:lang w:bidi="ar"/>
              </w:rPr>
              <w:t>5</w:t>
            </w:r>
            <w:r>
              <w:rPr>
                <w:rFonts w:asciiTheme="majorEastAsia" w:eastAsiaTheme="majorEastAsia" w:hAnsiTheme="majorEastAsia" w:cs="宋体" w:hint="eastAsia"/>
                <w:color w:val="000000" w:themeColor="text1"/>
                <w:kern w:val="0"/>
                <w:szCs w:val="21"/>
                <w:lang w:bidi="ar"/>
              </w:rPr>
              <w:t>.</w:t>
            </w:r>
            <w:r>
              <w:rPr>
                <w:rFonts w:asciiTheme="majorEastAsia" w:eastAsiaTheme="majorEastAsia" w:hAnsiTheme="majorEastAsia" w:cs="宋体"/>
                <w:color w:val="000000" w:themeColor="text1"/>
                <w:kern w:val="0"/>
                <w:szCs w:val="21"/>
                <w:lang w:bidi="ar"/>
              </w:rPr>
              <w:t>5</w:t>
            </w:r>
          </w:p>
        </w:tc>
        <w:tc>
          <w:tcPr>
            <w:tcW w:w="2130" w:type="dxa"/>
            <w:vAlign w:val="center"/>
          </w:tcPr>
          <w:p w14:paraId="302E1B26"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 xml:space="preserve">16.13 </w:t>
            </w:r>
          </w:p>
        </w:tc>
        <w:tc>
          <w:tcPr>
            <w:tcW w:w="2131" w:type="dxa"/>
            <w:vAlign w:val="center"/>
          </w:tcPr>
          <w:p w14:paraId="73D459BE"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16.23</w:t>
            </w:r>
          </w:p>
        </w:tc>
        <w:tc>
          <w:tcPr>
            <w:tcW w:w="2131" w:type="dxa"/>
            <w:vAlign w:val="center"/>
          </w:tcPr>
          <w:p w14:paraId="3483BF2B"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-0.62%</w:t>
            </w:r>
          </w:p>
        </w:tc>
      </w:tr>
      <w:tr w:rsidR="00094034" w14:paraId="2DE4F2AE" w14:textId="77777777">
        <w:tc>
          <w:tcPr>
            <w:tcW w:w="2130" w:type="dxa"/>
            <w:vAlign w:val="center"/>
          </w:tcPr>
          <w:p w14:paraId="4A94E621" w14:textId="77777777" w:rsidR="00094034" w:rsidRDefault="00000000">
            <w:pPr>
              <w:widowControl/>
              <w:spacing w:line="360" w:lineRule="auto"/>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202</w:t>
            </w:r>
            <w:r>
              <w:rPr>
                <w:rFonts w:asciiTheme="majorEastAsia" w:eastAsiaTheme="majorEastAsia" w:hAnsiTheme="majorEastAsia" w:cs="宋体"/>
                <w:color w:val="000000" w:themeColor="text1"/>
                <w:kern w:val="0"/>
                <w:szCs w:val="21"/>
                <w:lang w:bidi="ar"/>
              </w:rPr>
              <w:t>5</w:t>
            </w:r>
            <w:r>
              <w:rPr>
                <w:rFonts w:asciiTheme="majorEastAsia" w:eastAsiaTheme="majorEastAsia" w:hAnsiTheme="majorEastAsia" w:cs="宋体" w:hint="eastAsia"/>
                <w:color w:val="000000" w:themeColor="text1"/>
                <w:kern w:val="0"/>
                <w:szCs w:val="21"/>
                <w:lang w:bidi="ar"/>
              </w:rPr>
              <w:t>.</w:t>
            </w:r>
            <w:r>
              <w:rPr>
                <w:rFonts w:asciiTheme="majorEastAsia" w:eastAsiaTheme="majorEastAsia" w:hAnsiTheme="majorEastAsia" w:cs="宋体"/>
                <w:color w:val="000000" w:themeColor="text1"/>
                <w:kern w:val="0"/>
                <w:szCs w:val="21"/>
                <w:lang w:bidi="ar"/>
              </w:rPr>
              <w:t>5</w:t>
            </w:r>
            <w:r>
              <w:rPr>
                <w:rFonts w:asciiTheme="majorEastAsia" w:eastAsiaTheme="majorEastAsia" w:hAnsiTheme="majorEastAsia" w:cs="宋体" w:hint="eastAsia"/>
                <w:color w:val="000000" w:themeColor="text1"/>
                <w:kern w:val="0"/>
                <w:szCs w:val="21"/>
                <w:lang w:bidi="ar"/>
              </w:rPr>
              <w:t>.</w:t>
            </w:r>
            <w:r>
              <w:rPr>
                <w:rFonts w:asciiTheme="majorEastAsia" w:eastAsiaTheme="majorEastAsia" w:hAnsiTheme="majorEastAsia" w:cs="宋体"/>
                <w:color w:val="000000" w:themeColor="text1"/>
                <w:kern w:val="0"/>
                <w:szCs w:val="21"/>
                <w:lang w:bidi="ar"/>
              </w:rPr>
              <w:t>6</w:t>
            </w:r>
          </w:p>
        </w:tc>
        <w:tc>
          <w:tcPr>
            <w:tcW w:w="2130" w:type="dxa"/>
            <w:vAlign w:val="center"/>
          </w:tcPr>
          <w:p w14:paraId="4D4D6DC2"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 xml:space="preserve">33.58 </w:t>
            </w:r>
          </w:p>
        </w:tc>
        <w:tc>
          <w:tcPr>
            <w:tcW w:w="2131" w:type="dxa"/>
            <w:vAlign w:val="center"/>
          </w:tcPr>
          <w:p w14:paraId="2E78894A"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33.54</w:t>
            </w:r>
          </w:p>
        </w:tc>
        <w:tc>
          <w:tcPr>
            <w:tcW w:w="2131" w:type="dxa"/>
            <w:vAlign w:val="center"/>
          </w:tcPr>
          <w:p w14:paraId="61379F3E" w14:textId="77777777" w:rsidR="00094034" w:rsidRDefault="00000000">
            <w:pPr>
              <w:widowControl/>
              <w:jc w:val="center"/>
              <w:textAlignment w:val="center"/>
              <w:rPr>
                <w:rFonts w:asciiTheme="majorEastAsia" w:eastAsiaTheme="majorEastAsia" w:hAnsiTheme="majorEastAsia" w:cs="宋体" w:hint="eastAsia"/>
                <w:color w:val="000000" w:themeColor="text1"/>
                <w:szCs w:val="21"/>
              </w:rPr>
            </w:pPr>
            <w:r>
              <w:rPr>
                <w:rFonts w:asciiTheme="majorEastAsia" w:eastAsiaTheme="majorEastAsia" w:hAnsiTheme="majorEastAsia" w:cs="宋体" w:hint="eastAsia"/>
                <w:color w:val="000000" w:themeColor="text1"/>
                <w:kern w:val="0"/>
                <w:szCs w:val="21"/>
                <w:lang w:bidi="ar"/>
              </w:rPr>
              <w:t>0.12%</w:t>
            </w:r>
          </w:p>
        </w:tc>
      </w:tr>
    </w:tbl>
    <w:p w14:paraId="433EB8EE" w14:textId="77777777" w:rsidR="00094034" w:rsidRDefault="00000000">
      <w:pPr>
        <w:spacing w:line="360" w:lineRule="auto"/>
        <w:rPr>
          <w:rFonts w:asciiTheme="majorEastAsia" w:eastAsiaTheme="majorEastAsia" w:hAnsiTheme="majorEastAsia" w:cs="黑体" w:hint="eastAsia"/>
          <w:color w:val="000000" w:themeColor="text1"/>
          <w:sz w:val="24"/>
        </w:rPr>
      </w:pPr>
      <w:r>
        <w:rPr>
          <w:rFonts w:asciiTheme="majorEastAsia" w:eastAsiaTheme="majorEastAsia" w:hAnsiTheme="majorEastAsia" w:cs="黑体" w:hint="eastAsia"/>
          <w:color w:val="000000" w:themeColor="text1"/>
          <w:sz w:val="24"/>
        </w:rPr>
        <w:t>3  性能试验</w:t>
      </w:r>
    </w:p>
    <w:p w14:paraId="58495362" w14:textId="77777777" w:rsidR="00094034" w:rsidRDefault="00000000">
      <w:pPr>
        <w:spacing w:line="360" w:lineRule="auto"/>
        <w:ind w:firstLineChars="200" w:firstLine="480"/>
        <w:rPr>
          <w:rFonts w:asciiTheme="majorEastAsia" w:eastAsiaTheme="majorEastAsia" w:hAnsiTheme="majorEastAsia" w:cs="宋体" w:hint="eastAsia"/>
          <w:color w:val="000000" w:themeColor="text1"/>
          <w:sz w:val="24"/>
        </w:rPr>
      </w:pPr>
      <w:r>
        <w:rPr>
          <w:rFonts w:asciiTheme="majorEastAsia" w:eastAsiaTheme="majorEastAsia" w:hAnsiTheme="majorEastAsia" w:cs="宋体" w:hint="eastAsia"/>
          <w:color w:val="000000" w:themeColor="text1"/>
          <w:sz w:val="24"/>
        </w:rPr>
        <w:t>5月12-13日，标委会秘书处组织5家设备厂商在浙江进行了性能验证试验。参与试验验证的厂家有杭州明瑞智能检测科技有限公司、武汉天虹环保产业股份有限公司、杭州肥牛信息科技有限公司、青岛明华电子仪器有限公司、</w:t>
      </w:r>
      <w:proofErr w:type="gramStart"/>
      <w:r>
        <w:rPr>
          <w:rFonts w:asciiTheme="majorEastAsia" w:eastAsiaTheme="majorEastAsia" w:hAnsiTheme="majorEastAsia" w:cs="宋体" w:hint="eastAsia"/>
          <w:color w:val="000000" w:themeColor="text1"/>
          <w:sz w:val="24"/>
        </w:rPr>
        <w:t>衡智远</w:t>
      </w:r>
      <w:proofErr w:type="gramEnd"/>
      <w:r>
        <w:rPr>
          <w:rFonts w:asciiTheme="majorEastAsia" w:eastAsiaTheme="majorEastAsia" w:hAnsiTheme="majorEastAsia" w:cs="宋体" w:hint="eastAsia"/>
          <w:color w:val="000000" w:themeColor="text1"/>
          <w:sz w:val="24"/>
        </w:rPr>
        <w:t>科技（深圳）有限公司5家生产企业，由浙江省质量科学研究院专家根据有关方法标准（规范）给出在线设备检测方法和参考油烟颗粒物浓度监测仪校验方法，对仪器进行验证。主要包括零点漂移、示值误差、响应时间、重复性、高浓度淹没试验、水汽影响试验。</w:t>
      </w:r>
    </w:p>
    <w:p w14:paraId="1010B70A" w14:textId="77777777" w:rsidR="00094034" w:rsidRDefault="00000000">
      <w:pPr>
        <w:spacing w:line="360" w:lineRule="auto"/>
        <w:ind w:firstLineChars="100" w:firstLine="240"/>
        <w:rPr>
          <w:rFonts w:asciiTheme="majorEastAsia" w:eastAsiaTheme="majorEastAsia" w:hAnsiTheme="majorEastAsia" w:cs="Times New Roman" w:hint="eastAsia"/>
          <w:sz w:val="24"/>
        </w:rPr>
      </w:pPr>
      <w:r>
        <w:rPr>
          <w:rFonts w:asciiTheme="majorEastAsia" w:eastAsiaTheme="majorEastAsia" w:hAnsiTheme="majorEastAsia" w:cs="宋体" w:hint="eastAsia"/>
          <w:color w:val="000000" w:themeColor="text1"/>
          <w:sz w:val="24"/>
        </w:rPr>
        <w:t>表10  油烟颗粒物在</w:t>
      </w:r>
      <w:r>
        <w:rPr>
          <w:rFonts w:asciiTheme="majorEastAsia" w:eastAsiaTheme="majorEastAsia" w:hAnsiTheme="majorEastAsia" w:cs="宋体" w:hint="eastAsia"/>
          <w:sz w:val="24"/>
        </w:rPr>
        <w:t>线监测仪性能指标试验记录</w:t>
      </w:r>
    </w:p>
    <w:p w14:paraId="6C4AA557" w14:textId="77777777" w:rsidR="00094034" w:rsidRDefault="00000000">
      <w:pPr>
        <w:adjustRightInd w:val="0"/>
        <w:snapToGrid w:val="0"/>
        <w:spacing w:beforeLines="50" w:before="156"/>
        <w:rPr>
          <w:rFonts w:asciiTheme="majorEastAsia" w:eastAsiaTheme="majorEastAsia" w:hAnsiTheme="majorEastAsia" w:cs="Times New Roman" w:hint="eastAsia"/>
          <w:sz w:val="24"/>
        </w:rPr>
      </w:pPr>
      <w:r>
        <w:rPr>
          <w:rFonts w:asciiTheme="majorEastAsia" w:eastAsiaTheme="majorEastAsia" w:hAnsiTheme="majorEastAsia" w:cs="Times New Roman" w:hint="eastAsia"/>
          <w:sz w:val="24"/>
        </w:rPr>
        <w:t>日期：2025年5月13日     环境条件：温度</w:t>
      </w:r>
      <w:r>
        <w:rPr>
          <w:rFonts w:asciiTheme="majorEastAsia" w:eastAsiaTheme="majorEastAsia" w:hAnsiTheme="majorEastAsia" w:cs="Times New Roman"/>
          <w:sz w:val="24"/>
        </w:rPr>
        <w:t>_</w:t>
      </w:r>
      <w:r>
        <w:rPr>
          <w:rFonts w:asciiTheme="majorEastAsia" w:eastAsiaTheme="majorEastAsia" w:hAnsiTheme="majorEastAsia" w:cs="Times New Roman"/>
          <w:sz w:val="24"/>
          <w:u w:val="single"/>
        </w:rPr>
        <w:t>__</w:t>
      </w:r>
      <w:r>
        <w:rPr>
          <w:rFonts w:asciiTheme="majorEastAsia" w:eastAsiaTheme="majorEastAsia" w:hAnsiTheme="majorEastAsia" w:cs="Times New Roman" w:hint="eastAsia"/>
          <w:sz w:val="24"/>
          <w:u w:val="single"/>
        </w:rPr>
        <w:t>35.4</w:t>
      </w:r>
      <w:r>
        <w:rPr>
          <w:rFonts w:asciiTheme="majorEastAsia" w:eastAsiaTheme="majorEastAsia" w:hAnsiTheme="majorEastAsia" w:cs="Times New Roman"/>
          <w:sz w:val="24"/>
          <w:u w:val="single"/>
        </w:rPr>
        <w:t>__</w:t>
      </w:r>
      <w:r>
        <w:rPr>
          <w:rFonts w:asciiTheme="majorEastAsia" w:eastAsiaTheme="majorEastAsia" w:hAnsiTheme="majorEastAsia" w:cs="Times New Roman"/>
          <w:sz w:val="24"/>
        </w:rPr>
        <w:t>___</w:t>
      </w:r>
      <w:r>
        <w:rPr>
          <w:rFonts w:asciiTheme="majorEastAsia" w:eastAsiaTheme="majorEastAsia" w:hAnsiTheme="majorEastAsia" w:cs="宋体" w:hint="eastAsia"/>
          <w:sz w:val="24"/>
        </w:rPr>
        <w:t>℃</w:t>
      </w:r>
      <w:r>
        <w:rPr>
          <w:rFonts w:asciiTheme="majorEastAsia" w:eastAsiaTheme="majorEastAsia" w:hAnsiTheme="majorEastAsia" w:cs="Times New Roman"/>
          <w:sz w:val="24"/>
        </w:rPr>
        <w:t xml:space="preserve">  </w:t>
      </w:r>
      <w:r>
        <w:rPr>
          <w:rFonts w:asciiTheme="majorEastAsia" w:eastAsiaTheme="majorEastAsia" w:hAnsiTheme="majorEastAsia" w:cs="Times New Roman" w:hint="eastAsia"/>
          <w:sz w:val="24"/>
        </w:rPr>
        <w:t xml:space="preserve"> </w:t>
      </w:r>
    </w:p>
    <w:p w14:paraId="06B5E8FB" w14:textId="77777777" w:rsidR="00094034" w:rsidRDefault="00000000">
      <w:pPr>
        <w:adjustRightInd w:val="0"/>
        <w:snapToGrid w:val="0"/>
        <w:spacing w:beforeLines="50" w:before="156"/>
        <w:rPr>
          <w:rFonts w:asciiTheme="majorEastAsia" w:eastAsiaTheme="majorEastAsia" w:hAnsiTheme="majorEastAsia" w:cs="Times New Roman" w:hint="eastAsia"/>
          <w:sz w:val="24"/>
        </w:rPr>
      </w:pPr>
      <w:r>
        <w:rPr>
          <w:rFonts w:asciiTheme="majorEastAsia" w:eastAsiaTheme="majorEastAsia" w:hAnsiTheme="majorEastAsia" w:cs="Times New Roman" w:hint="eastAsia"/>
          <w:sz w:val="24"/>
        </w:rPr>
        <w:t>环境湿度：</w:t>
      </w:r>
      <w:r>
        <w:rPr>
          <w:rFonts w:asciiTheme="majorEastAsia" w:eastAsiaTheme="majorEastAsia" w:hAnsiTheme="majorEastAsia" w:cs="Times New Roman"/>
          <w:sz w:val="24"/>
        </w:rPr>
        <w:t>__</w:t>
      </w:r>
      <w:r>
        <w:rPr>
          <w:rFonts w:asciiTheme="majorEastAsia" w:eastAsiaTheme="majorEastAsia" w:hAnsiTheme="majorEastAsia" w:cs="Times New Roman"/>
          <w:sz w:val="24"/>
          <w:u w:val="single"/>
        </w:rPr>
        <w:t>_</w:t>
      </w:r>
      <w:r>
        <w:rPr>
          <w:rFonts w:asciiTheme="majorEastAsia" w:eastAsiaTheme="majorEastAsia" w:hAnsiTheme="majorEastAsia" w:cs="Times New Roman" w:hint="eastAsia"/>
          <w:sz w:val="24"/>
          <w:u w:val="single"/>
        </w:rPr>
        <w:t>52</w:t>
      </w:r>
      <w:r>
        <w:rPr>
          <w:rFonts w:asciiTheme="majorEastAsia" w:eastAsiaTheme="majorEastAsia" w:hAnsiTheme="majorEastAsia" w:cs="Times New Roman"/>
          <w:sz w:val="24"/>
          <w:u w:val="single"/>
        </w:rPr>
        <w:t>_</w:t>
      </w:r>
      <w:r>
        <w:rPr>
          <w:rFonts w:asciiTheme="majorEastAsia" w:eastAsiaTheme="majorEastAsia" w:hAnsiTheme="majorEastAsia" w:cs="Times New Roman"/>
          <w:sz w:val="24"/>
        </w:rPr>
        <w:t xml:space="preserve">_____%RH  </w:t>
      </w:r>
      <w:r>
        <w:rPr>
          <w:rFonts w:asciiTheme="majorEastAsia" w:eastAsiaTheme="majorEastAsia" w:hAnsiTheme="majorEastAsia" w:cs="Times New Roman" w:hint="eastAsia"/>
          <w:sz w:val="24"/>
        </w:rPr>
        <w:t xml:space="preserve"> 测量条件：烟气流速</w:t>
      </w:r>
      <w:r>
        <w:rPr>
          <w:rFonts w:asciiTheme="majorEastAsia" w:eastAsiaTheme="majorEastAsia" w:hAnsiTheme="majorEastAsia" w:cs="Times New Roman"/>
          <w:sz w:val="24"/>
        </w:rPr>
        <w:t>__</w:t>
      </w:r>
      <w:r>
        <w:rPr>
          <w:rFonts w:asciiTheme="majorEastAsia" w:eastAsiaTheme="majorEastAsia" w:hAnsiTheme="majorEastAsia" w:cs="Times New Roman"/>
          <w:sz w:val="24"/>
          <w:u w:val="single"/>
        </w:rPr>
        <w:t>__</w:t>
      </w:r>
      <w:r>
        <w:rPr>
          <w:rFonts w:asciiTheme="majorEastAsia" w:eastAsiaTheme="majorEastAsia" w:hAnsiTheme="majorEastAsia" w:cs="Times New Roman" w:hint="eastAsia"/>
          <w:sz w:val="24"/>
          <w:u w:val="single"/>
        </w:rPr>
        <w:t>5</w:t>
      </w:r>
      <w:r>
        <w:rPr>
          <w:rFonts w:asciiTheme="majorEastAsia" w:eastAsiaTheme="majorEastAsia" w:hAnsiTheme="majorEastAsia" w:cs="Times New Roman"/>
          <w:sz w:val="24"/>
          <w:u w:val="single"/>
        </w:rPr>
        <w:t>_</w:t>
      </w:r>
      <w:r>
        <w:rPr>
          <w:rFonts w:asciiTheme="majorEastAsia" w:eastAsiaTheme="majorEastAsia" w:hAnsiTheme="majorEastAsia" w:cs="Times New Roman"/>
          <w:sz w:val="24"/>
        </w:rPr>
        <w:t>___</w:t>
      </w:r>
      <w:r>
        <w:rPr>
          <w:rFonts w:asciiTheme="majorEastAsia" w:eastAsiaTheme="majorEastAsia" w:hAnsiTheme="majorEastAsia" w:cs="Times New Roman" w:hint="eastAsia"/>
          <w:sz w:val="24"/>
        </w:rPr>
        <w:t>m/s</w:t>
      </w:r>
    </w:p>
    <w:p w14:paraId="0BB787BB" w14:textId="77777777" w:rsidR="00094034" w:rsidRDefault="00094034">
      <w:pPr>
        <w:rPr>
          <w:rFonts w:asciiTheme="majorEastAsia" w:eastAsiaTheme="majorEastAsia" w:hAnsiTheme="majorEastAsia" w:hint="eastAsia"/>
          <w:sz w:val="24"/>
        </w:rPr>
      </w:pPr>
    </w:p>
    <w:p w14:paraId="1ADEBA4C" w14:textId="77777777" w:rsidR="00094034" w:rsidRDefault="00000000">
      <w:pPr>
        <w:jc w:val="center"/>
        <w:rPr>
          <w:rFonts w:asciiTheme="majorEastAsia" w:eastAsiaTheme="majorEastAsia" w:hAnsiTheme="majorEastAsia" w:hint="eastAsia"/>
          <w:sz w:val="24"/>
        </w:rPr>
      </w:pPr>
      <w:r>
        <w:rPr>
          <w:rFonts w:asciiTheme="majorEastAsia" w:eastAsiaTheme="majorEastAsia" w:hAnsiTheme="majorEastAsia" w:hint="eastAsia"/>
          <w:sz w:val="24"/>
        </w:rPr>
        <w:t>表10零点漂移</w:t>
      </w: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28"/>
        <w:gridCol w:w="4790"/>
      </w:tblGrid>
      <w:tr w:rsidR="00094034" w14:paraId="4C0D1459" w14:textId="77777777">
        <w:trPr>
          <w:trHeight w:val="459"/>
          <w:jc w:val="center"/>
        </w:trPr>
        <w:tc>
          <w:tcPr>
            <w:tcW w:w="2660" w:type="dxa"/>
            <w:vAlign w:val="center"/>
          </w:tcPr>
          <w:p w14:paraId="6D9DB346" w14:textId="77777777" w:rsidR="00094034" w:rsidRDefault="00094034">
            <w:pPr>
              <w:jc w:val="center"/>
              <w:rPr>
                <w:rFonts w:asciiTheme="majorEastAsia" w:eastAsiaTheme="majorEastAsia" w:hAnsiTheme="majorEastAsia" w:cs="Times New Roman" w:hint="eastAsia"/>
                <w:szCs w:val="21"/>
              </w:rPr>
            </w:pPr>
          </w:p>
        </w:tc>
        <w:tc>
          <w:tcPr>
            <w:tcW w:w="1428" w:type="dxa"/>
            <w:vAlign w:val="center"/>
          </w:tcPr>
          <w:p w14:paraId="55F37113"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设备厂商</w:t>
            </w:r>
          </w:p>
        </w:tc>
        <w:tc>
          <w:tcPr>
            <w:tcW w:w="4790" w:type="dxa"/>
            <w:vAlign w:val="center"/>
          </w:tcPr>
          <w:p w14:paraId="7745CE6D"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hint="eastAsia"/>
                <w:szCs w:val="21"/>
              </w:rPr>
              <w:t>零点漂移</w:t>
            </w:r>
          </w:p>
        </w:tc>
      </w:tr>
      <w:tr w:rsidR="00094034" w14:paraId="07C5D9FA" w14:textId="77777777">
        <w:trPr>
          <w:trHeight w:val="327"/>
          <w:jc w:val="center"/>
        </w:trPr>
        <w:tc>
          <w:tcPr>
            <w:tcW w:w="2660" w:type="dxa"/>
            <w:vMerge w:val="restart"/>
            <w:vAlign w:val="center"/>
          </w:tcPr>
          <w:p w14:paraId="2CD271C6"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油烟</w:t>
            </w:r>
          </w:p>
        </w:tc>
        <w:tc>
          <w:tcPr>
            <w:tcW w:w="1428" w:type="dxa"/>
            <w:vAlign w:val="center"/>
          </w:tcPr>
          <w:p w14:paraId="206391CC"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1</w:t>
            </w:r>
          </w:p>
        </w:tc>
        <w:tc>
          <w:tcPr>
            <w:tcW w:w="4790" w:type="dxa"/>
            <w:vAlign w:val="center"/>
          </w:tcPr>
          <w:p w14:paraId="26DD02EC"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w:t>
            </w:r>
          </w:p>
        </w:tc>
      </w:tr>
      <w:tr w:rsidR="00094034" w14:paraId="3917AB8D" w14:textId="77777777">
        <w:trPr>
          <w:trHeight w:val="288"/>
          <w:jc w:val="center"/>
        </w:trPr>
        <w:tc>
          <w:tcPr>
            <w:tcW w:w="2660" w:type="dxa"/>
            <w:vMerge/>
            <w:vAlign w:val="center"/>
          </w:tcPr>
          <w:p w14:paraId="4C47EED0" w14:textId="77777777" w:rsidR="00094034" w:rsidRDefault="00094034">
            <w:pPr>
              <w:jc w:val="center"/>
              <w:rPr>
                <w:rFonts w:asciiTheme="majorEastAsia" w:eastAsiaTheme="majorEastAsia" w:hAnsiTheme="majorEastAsia" w:hint="eastAsia"/>
                <w:szCs w:val="21"/>
              </w:rPr>
            </w:pPr>
          </w:p>
        </w:tc>
        <w:tc>
          <w:tcPr>
            <w:tcW w:w="1428" w:type="dxa"/>
            <w:vAlign w:val="center"/>
          </w:tcPr>
          <w:p w14:paraId="7EA174BB"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2</w:t>
            </w:r>
          </w:p>
        </w:tc>
        <w:tc>
          <w:tcPr>
            <w:tcW w:w="4790" w:type="dxa"/>
            <w:vAlign w:val="center"/>
          </w:tcPr>
          <w:p w14:paraId="13081B9A"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w:t>
            </w:r>
          </w:p>
        </w:tc>
      </w:tr>
      <w:tr w:rsidR="00094034" w14:paraId="2AC8CEEE" w14:textId="77777777">
        <w:trPr>
          <w:trHeight w:val="288"/>
          <w:jc w:val="center"/>
        </w:trPr>
        <w:tc>
          <w:tcPr>
            <w:tcW w:w="2660" w:type="dxa"/>
            <w:vMerge/>
            <w:vAlign w:val="center"/>
          </w:tcPr>
          <w:p w14:paraId="5C1D1A6F" w14:textId="77777777" w:rsidR="00094034" w:rsidRDefault="00094034">
            <w:pPr>
              <w:jc w:val="center"/>
              <w:rPr>
                <w:rFonts w:asciiTheme="majorEastAsia" w:eastAsiaTheme="majorEastAsia" w:hAnsiTheme="majorEastAsia" w:cs="Times New Roman" w:hint="eastAsia"/>
                <w:szCs w:val="21"/>
              </w:rPr>
            </w:pPr>
          </w:p>
        </w:tc>
        <w:tc>
          <w:tcPr>
            <w:tcW w:w="1428" w:type="dxa"/>
            <w:vAlign w:val="center"/>
          </w:tcPr>
          <w:p w14:paraId="638C08D6"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3</w:t>
            </w:r>
          </w:p>
        </w:tc>
        <w:tc>
          <w:tcPr>
            <w:tcW w:w="4790" w:type="dxa"/>
            <w:vAlign w:val="center"/>
          </w:tcPr>
          <w:p w14:paraId="0E3BE4E5"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0.15</w:t>
            </w:r>
          </w:p>
        </w:tc>
      </w:tr>
      <w:tr w:rsidR="00094034" w14:paraId="72AF8134" w14:textId="77777777">
        <w:trPr>
          <w:trHeight w:val="288"/>
          <w:jc w:val="center"/>
        </w:trPr>
        <w:tc>
          <w:tcPr>
            <w:tcW w:w="2660" w:type="dxa"/>
            <w:vMerge/>
            <w:vAlign w:val="center"/>
          </w:tcPr>
          <w:p w14:paraId="74B73A9A" w14:textId="77777777" w:rsidR="00094034" w:rsidRDefault="00094034">
            <w:pPr>
              <w:jc w:val="center"/>
              <w:rPr>
                <w:rFonts w:asciiTheme="majorEastAsia" w:eastAsiaTheme="majorEastAsia" w:hAnsiTheme="majorEastAsia" w:cs="Times New Roman" w:hint="eastAsia"/>
                <w:szCs w:val="21"/>
              </w:rPr>
            </w:pPr>
          </w:p>
        </w:tc>
        <w:tc>
          <w:tcPr>
            <w:tcW w:w="1428" w:type="dxa"/>
            <w:vAlign w:val="center"/>
          </w:tcPr>
          <w:p w14:paraId="3450245A"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4</w:t>
            </w:r>
          </w:p>
        </w:tc>
        <w:tc>
          <w:tcPr>
            <w:tcW w:w="4790" w:type="dxa"/>
            <w:vAlign w:val="center"/>
          </w:tcPr>
          <w:p w14:paraId="018F54A9"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0.04</w:t>
            </w:r>
          </w:p>
        </w:tc>
      </w:tr>
      <w:tr w:rsidR="00094034" w14:paraId="0379FE36" w14:textId="77777777">
        <w:trPr>
          <w:trHeight w:val="315"/>
          <w:jc w:val="center"/>
        </w:trPr>
        <w:tc>
          <w:tcPr>
            <w:tcW w:w="2660" w:type="dxa"/>
            <w:vMerge/>
            <w:vAlign w:val="center"/>
          </w:tcPr>
          <w:p w14:paraId="51FC8F5E" w14:textId="77777777" w:rsidR="00094034" w:rsidRDefault="00094034">
            <w:pPr>
              <w:jc w:val="center"/>
              <w:rPr>
                <w:rFonts w:asciiTheme="majorEastAsia" w:eastAsiaTheme="majorEastAsia" w:hAnsiTheme="majorEastAsia" w:cs="Times New Roman" w:hint="eastAsia"/>
                <w:szCs w:val="21"/>
              </w:rPr>
            </w:pPr>
          </w:p>
        </w:tc>
        <w:tc>
          <w:tcPr>
            <w:tcW w:w="1428" w:type="dxa"/>
            <w:vAlign w:val="center"/>
          </w:tcPr>
          <w:p w14:paraId="6114E8AE"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5</w:t>
            </w:r>
          </w:p>
        </w:tc>
        <w:tc>
          <w:tcPr>
            <w:tcW w:w="4790" w:type="dxa"/>
            <w:vAlign w:val="center"/>
          </w:tcPr>
          <w:p w14:paraId="7A2F4BC0"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0.26</w:t>
            </w:r>
          </w:p>
        </w:tc>
      </w:tr>
      <w:tr w:rsidR="00094034" w14:paraId="36311EE5" w14:textId="77777777">
        <w:trPr>
          <w:trHeight w:val="315"/>
          <w:jc w:val="center"/>
        </w:trPr>
        <w:tc>
          <w:tcPr>
            <w:tcW w:w="2660" w:type="dxa"/>
            <w:vMerge w:val="restart"/>
            <w:vAlign w:val="center"/>
          </w:tcPr>
          <w:p w14:paraId="7A1A2206"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颗粒物</w:t>
            </w:r>
          </w:p>
        </w:tc>
        <w:tc>
          <w:tcPr>
            <w:tcW w:w="1428" w:type="dxa"/>
            <w:vAlign w:val="center"/>
          </w:tcPr>
          <w:p w14:paraId="57983A29"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1</w:t>
            </w:r>
          </w:p>
        </w:tc>
        <w:tc>
          <w:tcPr>
            <w:tcW w:w="4790" w:type="dxa"/>
            <w:vAlign w:val="center"/>
          </w:tcPr>
          <w:p w14:paraId="05FC2C03"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w:t>
            </w:r>
          </w:p>
        </w:tc>
      </w:tr>
      <w:tr w:rsidR="00094034" w14:paraId="1130A500" w14:textId="77777777">
        <w:trPr>
          <w:trHeight w:val="288"/>
          <w:jc w:val="center"/>
        </w:trPr>
        <w:tc>
          <w:tcPr>
            <w:tcW w:w="2660" w:type="dxa"/>
            <w:vMerge/>
            <w:vAlign w:val="center"/>
          </w:tcPr>
          <w:p w14:paraId="157B0CB0" w14:textId="77777777" w:rsidR="00094034" w:rsidRDefault="00094034">
            <w:pPr>
              <w:jc w:val="center"/>
              <w:rPr>
                <w:rFonts w:asciiTheme="majorEastAsia" w:eastAsiaTheme="majorEastAsia" w:hAnsiTheme="majorEastAsia" w:hint="eastAsia"/>
                <w:szCs w:val="21"/>
              </w:rPr>
            </w:pPr>
          </w:p>
        </w:tc>
        <w:tc>
          <w:tcPr>
            <w:tcW w:w="1428" w:type="dxa"/>
            <w:vAlign w:val="center"/>
          </w:tcPr>
          <w:p w14:paraId="2CA27915"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2</w:t>
            </w:r>
          </w:p>
        </w:tc>
        <w:tc>
          <w:tcPr>
            <w:tcW w:w="4790" w:type="dxa"/>
            <w:vAlign w:val="center"/>
          </w:tcPr>
          <w:p w14:paraId="700BD67E"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w:t>
            </w:r>
          </w:p>
        </w:tc>
      </w:tr>
      <w:tr w:rsidR="00094034" w14:paraId="68557DED" w14:textId="77777777">
        <w:trPr>
          <w:trHeight w:val="288"/>
          <w:jc w:val="center"/>
        </w:trPr>
        <w:tc>
          <w:tcPr>
            <w:tcW w:w="2660" w:type="dxa"/>
            <w:vMerge/>
            <w:vAlign w:val="center"/>
          </w:tcPr>
          <w:p w14:paraId="1236A2FB" w14:textId="77777777" w:rsidR="00094034" w:rsidRDefault="00094034">
            <w:pPr>
              <w:jc w:val="center"/>
              <w:rPr>
                <w:rFonts w:asciiTheme="majorEastAsia" w:eastAsiaTheme="majorEastAsia" w:hAnsiTheme="majorEastAsia" w:cs="Times New Roman" w:hint="eastAsia"/>
                <w:szCs w:val="21"/>
              </w:rPr>
            </w:pPr>
          </w:p>
        </w:tc>
        <w:tc>
          <w:tcPr>
            <w:tcW w:w="1428" w:type="dxa"/>
            <w:vAlign w:val="center"/>
          </w:tcPr>
          <w:p w14:paraId="55173094"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3</w:t>
            </w:r>
          </w:p>
        </w:tc>
        <w:tc>
          <w:tcPr>
            <w:tcW w:w="4790" w:type="dxa"/>
            <w:vAlign w:val="center"/>
          </w:tcPr>
          <w:p w14:paraId="75AF7CD9"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0.16</w:t>
            </w:r>
          </w:p>
        </w:tc>
      </w:tr>
      <w:tr w:rsidR="00094034" w14:paraId="1EF3CF07" w14:textId="77777777">
        <w:trPr>
          <w:trHeight w:val="288"/>
          <w:jc w:val="center"/>
        </w:trPr>
        <w:tc>
          <w:tcPr>
            <w:tcW w:w="2660" w:type="dxa"/>
            <w:vMerge/>
            <w:vAlign w:val="center"/>
          </w:tcPr>
          <w:p w14:paraId="32CCD8EC" w14:textId="77777777" w:rsidR="00094034" w:rsidRDefault="00094034">
            <w:pPr>
              <w:jc w:val="center"/>
              <w:rPr>
                <w:rFonts w:asciiTheme="majorEastAsia" w:eastAsiaTheme="majorEastAsia" w:hAnsiTheme="majorEastAsia" w:cs="Times New Roman" w:hint="eastAsia"/>
                <w:szCs w:val="21"/>
              </w:rPr>
            </w:pPr>
          </w:p>
        </w:tc>
        <w:tc>
          <w:tcPr>
            <w:tcW w:w="1428" w:type="dxa"/>
            <w:vAlign w:val="center"/>
          </w:tcPr>
          <w:p w14:paraId="77AA97D1"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4</w:t>
            </w:r>
          </w:p>
        </w:tc>
        <w:tc>
          <w:tcPr>
            <w:tcW w:w="4790" w:type="dxa"/>
            <w:vAlign w:val="center"/>
          </w:tcPr>
          <w:p w14:paraId="668F3512"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0.04</w:t>
            </w:r>
          </w:p>
        </w:tc>
      </w:tr>
      <w:tr w:rsidR="00094034" w14:paraId="03738403" w14:textId="77777777">
        <w:trPr>
          <w:trHeight w:val="317"/>
          <w:jc w:val="center"/>
        </w:trPr>
        <w:tc>
          <w:tcPr>
            <w:tcW w:w="2660" w:type="dxa"/>
            <w:vMerge/>
            <w:vAlign w:val="center"/>
          </w:tcPr>
          <w:p w14:paraId="0A5A1112" w14:textId="77777777" w:rsidR="00094034" w:rsidRDefault="00094034">
            <w:pPr>
              <w:jc w:val="center"/>
              <w:rPr>
                <w:rFonts w:asciiTheme="majorEastAsia" w:eastAsiaTheme="majorEastAsia" w:hAnsiTheme="majorEastAsia" w:cs="Times New Roman" w:hint="eastAsia"/>
                <w:szCs w:val="21"/>
              </w:rPr>
            </w:pPr>
          </w:p>
        </w:tc>
        <w:tc>
          <w:tcPr>
            <w:tcW w:w="1428" w:type="dxa"/>
            <w:vAlign w:val="center"/>
          </w:tcPr>
          <w:p w14:paraId="3C4D84A1"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5</w:t>
            </w:r>
          </w:p>
        </w:tc>
        <w:tc>
          <w:tcPr>
            <w:tcW w:w="4790" w:type="dxa"/>
            <w:vAlign w:val="center"/>
          </w:tcPr>
          <w:p w14:paraId="04E5EAF6" w14:textId="77777777" w:rsidR="00094034" w:rsidRDefault="00000000">
            <w:pPr>
              <w:jc w:val="center"/>
              <w:rPr>
                <w:rFonts w:asciiTheme="majorEastAsia" w:eastAsiaTheme="majorEastAsia" w:hAnsiTheme="majorEastAsia" w:cs="Times New Roman" w:hint="eastAsia"/>
                <w:szCs w:val="21"/>
              </w:rPr>
            </w:pPr>
            <w:r>
              <w:rPr>
                <w:rFonts w:asciiTheme="majorEastAsia" w:eastAsiaTheme="majorEastAsia" w:hAnsiTheme="majorEastAsia" w:cs="Times New Roman" w:hint="eastAsia"/>
                <w:szCs w:val="21"/>
              </w:rPr>
              <w:t>0.35</w:t>
            </w:r>
          </w:p>
        </w:tc>
      </w:tr>
    </w:tbl>
    <w:p w14:paraId="019C13C0" w14:textId="77777777" w:rsidR="00094034" w:rsidRDefault="00000000">
      <w:pPr>
        <w:rPr>
          <w:rFonts w:asciiTheme="majorEastAsia" w:eastAsiaTheme="majorEastAsia" w:hAnsiTheme="majorEastAsia" w:hint="eastAsia"/>
          <w:sz w:val="24"/>
        </w:rPr>
      </w:pPr>
      <w:r>
        <w:rPr>
          <w:rFonts w:asciiTheme="majorEastAsia" w:eastAsiaTheme="majorEastAsia" w:hAnsiTheme="majorEastAsia" w:hint="eastAsia"/>
          <w:sz w:val="24"/>
        </w:rPr>
        <w:t>要求：不超过±0.2mg/m³</w:t>
      </w:r>
    </w:p>
    <w:p w14:paraId="5BAE6A1D"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大部分仪器厂家都满足要求，设备厂家5油烟零点漂移为0.26mg/m³，颗粒物零点漂移为0.35mg/m³，未达要求。经数据核查，仪器在8h、12h时零点漂移较大，在长时间运行中出现波动，建议对厂家提高传感器的稳定性。</w:t>
      </w:r>
    </w:p>
    <w:p w14:paraId="4D29D1AC" w14:textId="77777777" w:rsidR="00094034" w:rsidRDefault="00000000" w:rsidP="00742CC3">
      <w:pPr>
        <w:pStyle w:val="ac"/>
        <w:rPr>
          <w:rFonts w:hint="eastAsia"/>
        </w:rPr>
      </w:pPr>
      <w:r>
        <w:rPr>
          <w:rFonts w:hint="eastAsia"/>
        </w:rPr>
        <w:t>表11示值误差</w:t>
      </w:r>
    </w:p>
    <w:tbl>
      <w:tblPr>
        <w:tblStyle w:val="a9"/>
        <w:tblW w:w="8638" w:type="dxa"/>
        <w:jc w:val="center"/>
        <w:tblLook w:val="04A0" w:firstRow="1" w:lastRow="0" w:firstColumn="1" w:lastColumn="0" w:noHBand="0" w:noVBand="1"/>
      </w:tblPr>
      <w:tblGrid>
        <w:gridCol w:w="2134"/>
        <w:gridCol w:w="2013"/>
        <w:gridCol w:w="2087"/>
        <w:gridCol w:w="2404"/>
      </w:tblGrid>
      <w:tr w:rsidR="00094034" w14:paraId="515D8DEC" w14:textId="77777777">
        <w:trPr>
          <w:trHeight w:val="340"/>
          <w:jc w:val="center"/>
        </w:trPr>
        <w:tc>
          <w:tcPr>
            <w:tcW w:w="2134" w:type="dxa"/>
            <w:vAlign w:val="center"/>
          </w:tcPr>
          <w:p w14:paraId="585D9171"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油烟浓度点</w:t>
            </w:r>
          </w:p>
        </w:tc>
        <w:tc>
          <w:tcPr>
            <w:tcW w:w="2013" w:type="dxa"/>
            <w:vAlign w:val="center"/>
          </w:tcPr>
          <w:p w14:paraId="18A193B7"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设备厂商</w:t>
            </w:r>
          </w:p>
        </w:tc>
        <w:tc>
          <w:tcPr>
            <w:tcW w:w="2087" w:type="dxa"/>
            <w:vAlign w:val="center"/>
          </w:tcPr>
          <w:p w14:paraId="09AC8A08"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平均值</w:t>
            </w:r>
          </w:p>
          <w:p w14:paraId="3B381160"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mg/m3</w:t>
            </w:r>
            <w:r>
              <w:rPr>
                <w:rFonts w:ascii="Times New Roman" w:hAnsi="Times New Roman" w:cs="Times New Roman" w:hint="eastAsia"/>
                <w:szCs w:val="21"/>
              </w:rPr>
              <w:t>）</w:t>
            </w:r>
          </w:p>
        </w:tc>
        <w:tc>
          <w:tcPr>
            <w:tcW w:w="2404" w:type="dxa"/>
            <w:vAlign w:val="center"/>
          </w:tcPr>
          <w:p w14:paraId="70FF59C0"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示值误差</w:t>
            </w:r>
          </w:p>
          <w:p w14:paraId="0F231EB4"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w:t>
            </w:r>
            <w:r>
              <w:rPr>
                <w:rFonts w:ascii="Times New Roman" w:hAnsi="Times New Roman" w:cs="Times New Roman" w:hint="eastAsia"/>
                <w:szCs w:val="21"/>
              </w:rPr>
              <w:t>）</w:t>
            </w:r>
          </w:p>
        </w:tc>
      </w:tr>
      <w:tr w:rsidR="00094034" w14:paraId="1F4735BC" w14:textId="77777777">
        <w:trPr>
          <w:trHeight w:val="340"/>
          <w:jc w:val="center"/>
        </w:trPr>
        <w:tc>
          <w:tcPr>
            <w:tcW w:w="2134" w:type="dxa"/>
            <w:vMerge w:val="restart"/>
            <w:vAlign w:val="center"/>
          </w:tcPr>
          <w:p w14:paraId="0D1A68DC"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lastRenderedPageBreak/>
              <w:t>1mg/m</w:t>
            </w:r>
            <w:r>
              <w:rPr>
                <w:rFonts w:ascii="Times New Roman" w:hAnsi="Times New Roman" w:cs="Times New Roman" w:hint="eastAsia"/>
                <w:szCs w:val="21"/>
                <w:vertAlign w:val="superscript"/>
              </w:rPr>
              <w:t>3</w:t>
            </w:r>
          </w:p>
          <w:p w14:paraId="49357665"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230BDC8E"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1919019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1.59</w:t>
            </w:r>
          </w:p>
        </w:tc>
        <w:tc>
          <w:tcPr>
            <w:tcW w:w="2404" w:type="dxa"/>
            <w:shd w:val="clear" w:color="auto" w:fill="FFFF00"/>
            <w:vAlign w:val="center"/>
          </w:tcPr>
          <w:p w14:paraId="6F5EB4B3"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029707DF" w14:textId="77777777">
        <w:trPr>
          <w:trHeight w:val="340"/>
          <w:jc w:val="center"/>
        </w:trPr>
        <w:tc>
          <w:tcPr>
            <w:tcW w:w="2134" w:type="dxa"/>
            <w:vMerge/>
            <w:vAlign w:val="center"/>
          </w:tcPr>
          <w:p w14:paraId="09E526C5" w14:textId="77777777" w:rsidR="00094034" w:rsidRDefault="00094034">
            <w:pPr>
              <w:jc w:val="center"/>
              <w:rPr>
                <w:rFonts w:ascii="Times New Roman" w:hAnsi="Times New Roman" w:cs="Times New Roman"/>
                <w:szCs w:val="21"/>
              </w:rPr>
            </w:pPr>
          </w:p>
        </w:tc>
        <w:tc>
          <w:tcPr>
            <w:tcW w:w="2013" w:type="dxa"/>
            <w:vAlign w:val="center"/>
          </w:tcPr>
          <w:p w14:paraId="370D134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w:t>
            </w:r>
          </w:p>
        </w:tc>
        <w:tc>
          <w:tcPr>
            <w:tcW w:w="2087" w:type="dxa"/>
            <w:vAlign w:val="center"/>
          </w:tcPr>
          <w:p w14:paraId="0BA88D9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1.44</w:t>
            </w:r>
          </w:p>
        </w:tc>
        <w:tc>
          <w:tcPr>
            <w:tcW w:w="2404" w:type="dxa"/>
            <w:vAlign w:val="center"/>
          </w:tcPr>
          <w:p w14:paraId="5C4C9FB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-9.43%</w:t>
            </w:r>
          </w:p>
        </w:tc>
      </w:tr>
      <w:tr w:rsidR="00094034" w14:paraId="1497C7FA" w14:textId="77777777">
        <w:trPr>
          <w:trHeight w:val="340"/>
          <w:jc w:val="center"/>
        </w:trPr>
        <w:tc>
          <w:tcPr>
            <w:tcW w:w="2134" w:type="dxa"/>
            <w:vMerge/>
            <w:vAlign w:val="center"/>
          </w:tcPr>
          <w:p w14:paraId="77159CD2" w14:textId="77777777" w:rsidR="00094034" w:rsidRDefault="00094034">
            <w:pPr>
              <w:jc w:val="center"/>
              <w:rPr>
                <w:rFonts w:ascii="Times New Roman" w:hAnsi="Times New Roman" w:cs="Times New Roman"/>
                <w:szCs w:val="21"/>
              </w:rPr>
            </w:pPr>
          </w:p>
        </w:tc>
        <w:tc>
          <w:tcPr>
            <w:tcW w:w="2013" w:type="dxa"/>
            <w:vAlign w:val="center"/>
          </w:tcPr>
          <w:p w14:paraId="132E27F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w:t>
            </w:r>
          </w:p>
        </w:tc>
        <w:tc>
          <w:tcPr>
            <w:tcW w:w="2087" w:type="dxa"/>
            <w:vAlign w:val="center"/>
          </w:tcPr>
          <w:p w14:paraId="6CBF187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0.39</w:t>
            </w:r>
          </w:p>
        </w:tc>
        <w:tc>
          <w:tcPr>
            <w:tcW w:w="2404" w:type="dxa"/>
            <w:vAlign w:val="center"/>
          </w:tcPr>
          <w:p w14:paraId="7A1BB911"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-75.47%</w:t>
            </w:r>
          </w:p>
        </w:tc>
      </w:tr>
      <w:tr w:rsidR="00094034" w14:paraId="5A930EF1" w14:textId="77777777">
        <w:trPr>
          <w:trHeight w:val="340"/>
          <w:jc w:val="center"/>
        </w:trPr>
        <w:tc>
          <w:tcPr>
            <w:tcW w:w="2134" w:type="dxa"/>
            <w:vMerge/>
            <w:vAlign w:val="center"/>
          </w:tcPr>
          <w:p w14:paraId="1DDF6C9B" w14:textId="77777777" w:rsidR="00094034" w:rsidRDefault="00094034">
            <w:pPr>
              <w:jc w:val="center"/>
              <w:rPr>
                <w:rFonts w:ascii="Times New Roman" w:hAnsi="Times New Roman" w:cs="Times New Roman"/>
                <w:szCs w:val="21"/>
              </w:rPr>
            </w:pPr>
          </w:p>
        </w:tc>
        <w:tc>
          <w:tcPr>
            <w:tcW w:w="2013" w:type="dxa"/>
            <w:vAlign w:val="center"/>
          </w:tcPr>
          <w:p w14:paraId="1F564549"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w:t>
            </w:r>
          </w:p>
        </w:tc>
        <w:tc>
          <w:tcPr>
            <w:tcW w:w="2087" w:type="dxa"/>
            <w:vAlign w:val="center"/>
          </w:tcPr>
          <w:p w14:paraId="4BACC63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1.42</w:t>
            </w:r>
          </w:p>
        </w:tc>
        <w:tc>
          <w:tcPr>
            <w:tcW w:w="2404" w:type="dxa"/>
            <w:vAlign w:val="center"/>
          </w:tcPr>
          <w:p w14:paraId="3E3D8E9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-10.69%</w:t>
            </w:r>
          </w:p>
        </w:tc>
      </w:tr>
      <w:tr w:rsidR="00094034" w14:paraId="218B13A4" w14:textId="77777777">
        <w:trPr>
          <w:trHeight w:val="340"/>
          <w:jc w:val="center"/>
        </w:trPr>
        <w:tc>
          <w:tcPr>
            <w:tcW w:w="2134" w:type="dxa"/>
            <w:vMerge/>
            <w:vAlign w:val="center"/>
          </w:tcPr>
          <w:p w14:paraId="56B10B37"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61082AC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115CE59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1.24</w:t>
            </w:r>
          </w:p>
        </w:tc>
        <w:tc>
          <w:tcPr>
            <w:tcW w:w="2404" w:type="dxa"/>
            <w:shd w:val="clear" w:color="auto" w:fill="FFFF00"/>
            <w:vAlign w:val="center"/>
          </w:tcPr>
          <w:p w14:paraId="33DF88A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74EB14B7" w14:textId="77777777">
        <w:trPr>
          <w:trHeight w:val="340"/>
          <w:jc w:val="center"/>
        </w:trPr>
        <w:tc>
          <w:tcPr>
            <w:tcW w:w="2134" w:type="dxa"/>
            <w:vMerge/>
            <w:vAlign w:val="center"/>
          </w:tcPr>
          <w:p w14:paraId="6F7D364B" w14:textId="77777777" w:rsidR="00094034" w:rsidRDefault="00094034">
            <w:pPr>
              <w:jc w:val="center"/>
              <w:rPr>
                <w:rFonts w:ascii="Times New Roman" w:hAnsi="Times New Roman" w:cs="Times New Roman"/>
                <w:szCs w:val="21"/>
              </w:rPr>
            </w:pPr>
          </w:p>
        </w:tc>
        <w:tc>
          <w:tcPr>
            <w:tcW w:w="2013" w:type="dxa"/>
            <w:vAlign w:val="center"/>
          </w:tcPr>
          <w:p w14:paraId="3198D288"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w:t>
            </w:r>
          </w:p>
        </w:tc>
        <w:tc>
          <w:tcPr>
            <w:tcW w:w="2087" w:type="dxa"/>
            <w:vAlign w:val="center"/>
          </w:tcPr>
          <w:p w14:paraId="4ED18BD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0.86</w:t>
            </w:r>
          </w:p>
        </w:tc>
        <w:tc>
          <w:tcPr>
            <w:tcW w:w="2404" w:type="dxa"/>
            <w:vAlign w:val="center"/>
          </w:tcPr>
          <w:p w14:paraId="57EE882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-30.65%</w:t>
            </w:r>
          </w:p>
        </w:tc>
      </w:tr>
      <w:tr w:rsidR="00094034" w14:paraId="6B6867B2" w14:textId="77777777">
        <w:trPr>
          <w:trHeight w:val="340"/>
          <w:jc w:val="center"/>
        </w:trPr>
        <w:tc>
          <w:tcPr>
            <w:tcW w:w="2134" w:type="dxa"/>
            <w:vMerge/>
            <w:vAlign w:val="center"/>
          </w:tcPr>
          <w:p w14:paraId="79869FAC" w14:textId="77777777" w:rsidR="00094034" w:rsidRDefault="00094034">
            <w:pPr>
              <w:jc w:val="center"/>
              <w:rPr>
                <w:rFonts w:ascii="Times New Roman" w:hAnsi="Times New Roman" w:cs="Times New Roman"/>
                <w:szCs w:val="21"/>
              </w:rPr>
            </w:pPr>
          </w:p>
        </w:tc>
        <w:tc>
          <w:tcPr>
            <w:tcW w:w="2013" w:type="dxa"/>
            <w:vAlign w:val="center"/>
          </w:tcPr>
          <w:p w14:paraId="3CA8789B"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w:t>
            </w:r>
          </w:p>
        </w:tc>
        <w:tc>
          <w:tcPr>
            <w:tcW w:w="2087" w:type="dxa"/>
            <w:vAlign w:val="center"/>
          </w:tcPr>
          <w:p w14:paraId="2627942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1.74</w:t>
            </w:r>
          </w:p>
        </w:tc>
        <w:tc>
          <w:tcPr>
            <w:tcW w:w="2404" w:type="dxa"/>
            <w:vAlign w:val="center"/>
          </w:tcPr>
          <w:p w14:paraId="576C28D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40.32%</w:t>
            </w:r>
          </w:p>
        </w:tc>
      </w:tr>
      <w:tr w:rsidR="00094034" w14:paraId="6557B8F6" w14:textId="77777777">
        <w:trPr>
          <w:trHeight w:val="340"/>
          <w:jc w:val="center"/>
        </w:trPr>
        <w:tc>
          <w:tcPr>
            <w:tcW w:w="2134" w:type="dxa"/>
            <w:vMerge w:val="restart"/>
            <w:vAlign w:val="center"/>
          </w:tcPr>
          <w:p w14:paraId="1F5F0776"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4mg/m</w:t>
            </w:r>
            <w:r>
              <w:rPr>
                <w:rFonts w:ascii="Times New Roman" w:hAnsi="Times New Roman" w:cs="Times New Roman" w:hint="eastAsia"/>
                <w:szCs w:val="21"/>
                <w:vertAlign w:val="superscript"/>
              </w:rPr>
              <w:t>3</w:t>
            </w:r>
          </w:p>
          <w:p w14:paraId="1BADEDA5"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7A829A1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7F5F868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4.12</w:t>
            </w:r>
          </w:p>
        </w:tc>
        <w:tc>
          <w:tcPr>
            <w:tcW w:w="2404" w:type="dxa"/>
            <w:shd w:val="clear" w:color="auto" w:fill="FFFF00"/>
            <w:vAlign w:val="center"/>
          </w:tcPr>
          <w:p w14:paraId="0EB8DF35"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04F2F75F" w14:textId="77777777">
        <w:trPr>
          <w:trHeight w:val="340"/>
          <w:jc w:val="center"/>
        </w:trPr>
        <w:tc>
          <w:tcPr>
            <w:tcW w:w="2134" w:type="dxa"/>
            <w:vMerge/>
            <w:vAlign w:val="center"/>
          </w:tcPr>
          <w:p w14:paraId="715FA4DC" w14:textId="77777777" w:rsidR="00094034" w:rsidRDefault="00094034">
            <w:pPr>
              <w:jc w:val="center"/>
              <w:rPr>
                <w:rFonts w:ascii="Times New Roman" w:hAnsi="Times New Roman" w:cs="Times New Roman"/>
                <w:szCs w:val="21"/>
              </w:rPr>
            </w:pPr>
          </w:p>
        </w:tc>
        <w:tc>
          <w:tcPr>
            <w:tcW w:w="2013" w:type="dxa"/>
            <w:vAlign w:val="center"/>
          </w:tcPr>
          <w:p w14:paraId="7D44708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w:t>
            </w:r>
          </w:p>
        </w:tc>
        <w:tc>
          <w:tcPr>
            <w:tcW w:w="2087" w:type="dxa"/>
            <w:vAlign w:val="center"/>
          </w:tcPr>
          <w:p w14:paraId="459EA8F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3.95</w:t>
            </w:r>
          </w:p>
        </w:tc>
        <w:tc>
          <w:tcPr>
            <w:tcW w:w="2404" w:type="dxa"/>
            <w:vAlign w:val="center"/>
          </w:tcPr>
          <w:p w14:paraId="72C4DA2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-4.13%</w:t>
            </w:r>
          </w:p>
        </w:tc>
      </w:tr>
      <w:tr w:rsidR="00094034" w14:paraId="4DEA8A0C" w14:textId="77777777">
        <w:trPr>
          <w:trHeight w:val="340"/>
          <w:jc w:val="center"/>
        </w:trPr>
        <w:tc>
          <w:tcPr>
            <w:tcW w:w="2134" w:type="dxa"/>
            <w:vMerge/>
            <w:vAlign w:val="center"/>
          </w:tcPr>
          <w:p w14:paraId="7808B746" w14:textId="77777777" w:rsidR="00094034" w:rsidRDefault="00094034">
            <w:pPr>
              <w:jc w:val="center"/>
              <w:rPr>
                <w:rFonts w:ascii="Times New Roman" w:hAnsi="Times New Roman" w:cs="Times New Roman"/>
                <w:szCs w:val="21"/>
              </w:rPr>
            </w:pPr>
          </w:p>
        </w:tc>
        <w:tc>
          <w:tcPr>
            <w:tcW w:w="2013" w:type="dxa"/>
            <w:vAlign w:val="center"/>
          </w:tcPr>
          <w:p w14:paraId="016BE86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w:t>
            </w:r>
          </w:p>
        </w:tc>
        <w:tc>
          <w:tcPr>
            <w:tcW w:w="2087" w:type="dxa"/>
            <w:vAlign w:val="center"/>
          </w:tcPr>
          <w:p w14:paraId="23BE6CB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3.58</w:t>
            </w:r>
          </w:p>
        </w:tc>
        <w:tc>
          <w:tcPr>
            <w:tcW w:w="2404" w:type="dxa"/>
            <w:vAlign w:val="center"/>
          </w:tcPr>
          <w:p w14:paraId="5B5E5B89"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-13.11%</w:t>
            </w:r>
          </w:p>
        </w:tc>
      </w:tr>
      <w:tr w:rsidR="00094034" w14:paraId="570EEBEC" w14:textId="77777777">
        <w:trPr>
          <w:trHeight w:val="340"/>
          <w:jc w:val="center"/>
        </w:trPr>
        <w:tc>
          <w:tcPr>
            <w:tcW w:w="2134" w:type="dxa"/>
            <w:vMerge/>
            <w:vAlign w:val="center"/>
          </w:tcPr>
          <w:p w14:paraId="39BEC67A" w14:textId="77777777" w:rsidR="00094034" w:rsidRDefault="00094034">
            <w:pPr>
              <w:jc w:val="center"/>
              <w:rPr>
                <w:rFonts w:ascii="Times New Roman" w:hAnsi="Times New Roman" w:cs="Times New Roman"/>
                <w:szCs w:val="21"/>
              </w:rPr>
            </w:pPr>
          </w:p>
        </w:tc>
        <w:tc>
          <w:tcPr>
            <w:tcW w:w="2013" w:type="dxa"/>
            <w:vAlign w:val="center"/>
          </w:tcPr>
          <w:p w14:paraId="66D1012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w:t>
            </w:r>
          </w:p>
        </w:tc>
        <w:tc>
          <w:tcPr>
            <w:tcW w:w="2087" w:type="dxa"/>
            <w:vAlign w:val="center"/>
          </w:tcPr>
          <w:p w14:paraId="7B26E06E"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4.18</w:t>
            </w:r>
          </w:p>
        </w:tc>
        <w:tc>
          <w:tcPr>
            <w:tcW w:w="2404" w:type="dxa"/>
            <w:vAlign w:val="center"/>
          </w:tcPr>
          <w:p w14:paraId="1D7CC7E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-1.46%</w:t>
            </w:r>
          </w:p>
        </w:tc>
      </w:tr>
      <w:tr w:rsidR="00094034" w14:paraId="4082AB97" w14:textId="77777777">
        <w:trPr>
          <w:trHeight w:val="340"/>
          <w:jc w:val="center"/>
        </w:trPr>
        <w:tc>
          <w:tcPr>
            <w:tcW w:w="2134" w:type="dxa"/>
            <w:vMerge/>
            <w:vAlign w:val="center"/>
          </w:tcPr>
          <w:p w14:paraId="727D9D3D"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58062B9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7FC21DA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4.73</w:t>
            </w:r>
          </w:p>
        </w:tc>
        <w:tc>
          <w:tcPr>
            <w:tcW w:w="2404" w:type="dxa"/>
            <w:shd w:val="clear" w:color="auto" w:fill="FFFF00"/>
            <w:vAlign w:val="center"/>
          </w:tcPr>
          <w:p w14:paraId="54F7C663"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09F8B544" w14:textId="77777777">
        <w:trPr>
          <w:trHeight w:val="340"/>
          <w:jc w:val="center"/>
        </w:trPr>
        <w:tc>
          <w:tcPr>
            <w:tcW w:w="2134" w:type="dxa"/>
            <w:vMerge/>
            <w:vAlign w:val="center"/>
          </w:tcPr>
          <w:p w14:paraId="6FFDA1B6" w14:textId="77777777" w:rsidR="00094034" w:rsidRDefault="00094034">
            <w:pPr>
              <w:jc w:val="center"/>
              <w:rPr>
                <w:rFonts w:ascii="Times New Roman" w:hAnsi="Times New Roman" w:cs="Times New Roman"/>
                <w:szCs w:val="21"/>
              </w:rPr>
            </w:pPr>
          </w:p>
        </w:tc>
        <w:tc>
          <w:tcPr>
            <w:tcW w:w="2013" w:type="dxa"/>
            <w:vAlign w:val="center"/>
          </w:tcPr>
          <w:p w14:paraId="7031A57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w:t>
            </w:r>
          </w:p>
        </w:tc>
        <w:tc>
          <w:tcPr>
            <w:tcW w:w="2087" w:type="dxa"/>
            <w:vAlign w:val="center"/>
          </w:tcPr>
          <w:p w14:paraId="3BA6E60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3.84</w:t>
            </w:r>
          </w:p>
        </w:tc>
        <w:tc>
          <w:tcPr>
            <w:tcW w:w="2404" w:type="dxa"/>
            <w:vAlign w:val="center"/>
          </w:tcPr>
          <w:p w14:paraId="0CD2B1B9"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-18.82%</w:t>
            </w:r>
          </w:p>
        </w:tc>
      </w:tr>
      <w:tr w:rsidR="00094034" w14:paraId="355CF48A" w14:textId="77777777">
        <w:trPr>
          <w:trHeight w:val="340"/>
          <w:jc w:val="center"/>
        </w:trPr>
        <w:tc>
          <w:tcPr>
            <w:tcW w:w="2134" w:type="dxa"/>
            <w:vMerge/>
            <w:vAlign w:val="center"/>
          </w:tcPr>
          <w:p w14:paraId="254EA7E1" w14:textId="77777777" w:rsidR="00094034" w:rsidRDefault="00094034">
            <w:pPr>
              <w:jc w:val="center"/>
              <w:rPr>
                <w:rFonts w:ascii="Times New Roman" w:hAnsi="Times New Roman" w:cs="Times New Roman"/>
                <w:szCs w:val="21"/>
              </w:rPr>
            </w:pPr>
          </w:p>
        </w:tc>
        <w:tc>
          <w:tcPr>
            <w:tcW w:w="2013" w:type="dxa"/>
            <w:vAlign w:val="center"/>
          </w:tcPr>
          <w:p w14:paraId="558B22B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w:t>
            </w:r>
          </w:p>
        </w:tc>
        <w:tc>
          <w:tcPr>
            <w:tcW w:w="2087" w:type="dxa"/>
            <w:vAlign w:val="center"/>
          </w:tcPr>
          <w:p w14:paraId="55C0180E"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5.42</w:t>
            </w:r>
          </w:p>
        </w:tc>
        <w:tc>
          <w:tcPr>
            <w:tcW w:w="2404" w:type="dxa"/>
            <w:vAlign w:val="center"/>
          </w:tcPr>
          <w:p w14:paraId="4567ACC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14.59%</w:t>
            </w:r>
          </w:p>
        </w:tc>
      </w:tr>
      <w:tr w:rsidR="00094034" w14:paraId="5BFB0D40" w14:textId="77777777">
        <w:trPr>
          <w:trHeight w:val="340"/>
          <w:jc w:val="center"/>
        </w:trPr>
        <w:tc>
          <w:tcPr>
            <w:tcW w:w="2134" w:type="dxa"/>
            <w:vMerge w:val="restart"/>
            <w:vAlign w:val="center"/>
          </w:tcPr>
          <w:p w14:paraId="4A1E1139"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7mg/m</w:t>
            </w:r>
            <w:r>
              <w:rPr>
                <w:rFonts w:ascii="Times New Roman" w:hAnsi="Times New Roman" w:cs="Times New Roman" w:hint="eastAsia"/>
                <w:szCs w:val="21"/>
                <w:vertAlign w:val="superscript"/>
              </w:rPr>
              <w:t>3</w:t>
            </w:r>
          </w:p>
        </w:tc>
        <w:tc>
          <w:tcPr>
            <w:tcW w:w="2013" w:type="dxa"/>
            <w:shd w:val="clear" w:color="auto" w:fill="FFFF00"/>
            <w:vAlign w:val="center"/>
          </w:tcPr>
          <w:p w14:paraId="7E878F4B"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31913D6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6.25</w:t>
            </w:r>
          </w:p>
        </w:tc>
        <w:tc>
          <w:tcPr>
            <w:tcW w:w="2404" w:type="dxa"/>
            <w:shd w:val="clear" w:color="auto" w:fill="FFFF00"/>
            <w:vAlign w:val="center"/>
          </w:tcPr>
          <w:p w14:paraId="2BEDC714"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16E47FB0" w14:textId="77777777">
        <w:trPr>
          <w:trHeight w:val="340"/>
          <w:jc w:val="center"/>
        </w:trPr>
        <w:tc>
          <w:tcPr>
            <w:tcW w:w="2134" w:type="dxa"/>
            <w:vMerge/>
            <w:vAlign w:val="center"/>
          </w:tcPr>
          <w:p w14:paraId="493838ED" w14:textId="77777777" w:rsidR="00094034" w:rsidRDefault="00094034">
            <w:pPr>
              <w:jc w:val="center"/>
              <w:rPr>
                <w:rFonts w:ascii="Times New Roman" w:hAnsi="Times New Roman" w:cs="Times New Roman"/>
                <w:szCs w:val="21"/>
              </w:rPr>
            </w:pPr>
          </w:p>
        </w:tc>
        <w:tc>
          <w:tcPr>
            <w:tcW w:w="2013" w:type="dxa"/>
            <w:vAlign w:val="center"/>
          </w:tcPr>
          <w:p w14:paraId="0CECAC6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w:t>
            </w:r>
          </w:p>
        </w:tc>
        <w:tc>
          <w:tcPr>
            <w:tcW w:w="2087" w:type="dxa"/>
            <w:vAlign w:val="center"/>
          </w:tcPr>
          <w:p w14:paraId="6E9F7A48"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6.61</w:t>
            </w:r>
          </w:p>
        </w:tc>
        <w:tc>
          <w:tcPr>
            <w:tcW w:w="2404" w:type="dxa"/>
            <w:vAlign w:val="center"/>
          </w:tcPr>
          <w:p w14:paraId="77230E3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5.76%</w:t>
            </w:r>
          </w:p>
        </w:tc>
      </w:tr>
      <w:tr w:rsidR="00094034" w14:paraId="1A330D39" w14:textId="77777777">
        <w:trPr>
          <w:trHeight w:val="340"/>
          <w:jc w:val="center"/>
        </w:trPr>
        <w:tc>
          <w:tcPr>
            <w:tcW w:w="2134" w:type="dxa"/>
            <w:vMerge/>
            <w:vAlign w:val="center"/>
          </w:tcPr>
          <w:p w14:paraId="57034F97" w14:textId="77777777" w:rsidR="00094034" w:rsidRDefault="00094034">
            <w:pPr>
              <w:jc w:val="center"/>
              <w:rPr>
                <w:rFonts w:ascii="Times New Roman" w:hAnsi="Times New Roman" w:cs="Times New Roman"/>
                <w:szCs w:val="21"/>
              </w:rPr>
            </w:pPr>
          </w:p>
        </w:tc>
        <w:tc>
          <w:tcPr>
            <w:tcW w:w="2013" w:type="dxa"/>
            <w:vAlign w:val="center"/>
          </w:tcPr>
          <w:p w14:paraId="351126B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w:t>
            </w:r>
          </w:p>
        </w:tc>
        <w:tc>
          <w:tcPr>
            <w:tcW w:w="2087" w:type="dxa"/>
            <w:vAlign w:val="center"/>
          </w:tcPr>
          <w:p w14:paraId="6E07835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6.59</w:t>
            </w:r>
          </w:p>
        </w:tc>
        <w:tc>
          <w:tcPr>
            <w:tcW w:w="2404" w:type="dxa"/>
            <w:vAlign w:val="center"/>
          </w:tcPr>
          <w:p w14:paraId="31475FC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5.44%</w:t>
            </w:r>
          </w:p>
        </w:tc>
      </w:tr>
      <w:tr w:rsidR="00094034" w14:paraId="6389362B" w14:textId="77777777">
        <w:trPr>
          <w:trHeight w:val="340"/>
          <w:jc w:val="center"/>
        </w:trPr>
        <w:tc>
          <w:tcPr>
            <w:tcW w:w="2134" w:type="dxa"/>
            <w:vMerge/>
            <w:vAlign w:val="center"/>
          </w:tcPr>
          <w:p w14:paraId="338EFDB4" w14:textId="77777777" w:rsidR="00094034" w:rsidRDefault="00094034">
            <w:pPr>
              <w:jc w:val="center"/>
              <w:rPr>
                <w:rFonts w:ascii="Times New Roman" w:hAnsi="Times New Roman" w:cs="Times New Roman"/>
                <w:szCs w:val="21"/>
              </w:rPr>
            </w:pPr>
          </w:p>
        </w:tc>
        <w:tc>
          <w:tcPr>
            <w:tcW w:w="2013" w:type="dxa"/>
            <w:vAlign w:val="center"/>
          </w:tcPr>
          <w:p w14:paraId="0FA7AC7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w:t>
            </w:r>
          </w:p>
        </w:tc>
        <w:tc>
          <w:tcPr>
            <w:tcW w:w="2087" w:type="dxa"/>
            <w:vAlign w:val="center"/>
          </w:tcPr>
          <w:p w14:paraId="2E915044"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6.89</w:t>
            </w:r>
          </w:p>
        </w:tc>
        <w:tc>
          <w:tcPr>
            <w:tcW w:w="2404" w:type="dxa"/>
            <w:vAlign w:val="center"/>
          </w:tcPr>
          <w:p w14:paraId="17C10929"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10.24%</w:t>
            </w:r>
          </w:p>
        </w:tc>
      </w:tr>
      <w:tr w:rsidR="00094034" w14:paraId="66A86BFC" w14:textId="77777777">
        <w:trPr>
          <w:trHeight w:val="340"/>
          <w:jc w:val="center"/>
        </w:trPr>
        <w:tc>
          <w:tcPr>
            <w:tcW w:w="2134" w:type="dxa"/>
            <w:vMerge/>
            <w:vAlign w:val="center"/>
          </w:tcPr>
          <w:p w14:paraId="21F00C61"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1117A94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53C5B99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8.84</w:t>
            </w:r>
          </w:p>
        </w:tc>
        <w:tc>
          <w:tcPr>
            <w:tcW w:w="2404" w:type="dxa"/>
            <w:shd w:val="clear" w:color="auto" w:fill="FFFF00"/>
            <w:vAlign w:val="center"/>
          </w:tcPr>
          <w:p w14:paraId="636CF964"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5F8D98E8" w14:textId="77777777">
        <w:trPr>
          <w:trHeight w:val="340"/>
          <w:jc w:val="center"/>
        </w:trPr>
        <w:tc>
          <w:tcPr>
            <w:tcW w:w="2134" w:type="dxa"/>
            <w:vMerge/>
            <w:vAlign w:val="center"/>
          </w:tcPr>
          <w:p w14:paraId="664389A5" w14:textId="77777777" w:rsidR="00094034" w:rsidRDefault="00094034">
            <w:pPr>
              <w:jc w:val="center"/>
              <w:rPr>
                <w:rFonts w:ascii="Times New Roman" w:hAnsi="Times New Roman" w:cs="Times New Roman"/>
                <w:szCs w:val="21"/>
              </w:rPr>
            </w:pPr>
          </w:p>
        </w:tc>
        <w:tc>
          <w:tcPr>
            <w:tcW w:w="2013" w:type="dxa"/>
            <w:vAlign w:val="center"/>
          </w:tcPr>
          <w:p w14:paraId="48047CB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w:t>
            </w:r>
          </w:p>
        </w:tc>
        <w:tc>
          <w:tcPr>
            <w:tcW w:w="2087" w:type="dxa"/>
            <w:vAlign w:val="center"/>
          </w:tcPr>
          <w:p w14:paraId="6F32844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7.44</w:t>
            </w:r>
          </w:p>
        </w:tc>
        <w:tc>
          <w:tcPr>
            <w:tcW w:w="2404" w:type="dxa"/>
            <w:vAlign w:val="center"/>
          </w:tcPr>
          <w:p w14:paraId="0008756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-15.84%</w:t>
            </w:r>
          </w:p>
        </w:tc>
      </w:tr>
      <w:tr w:rsidR="00094034" w14:paraId="480D80F9" w14:textId="77777777">
        <w:trPr>
          <w:trHeight w:val="340"/>
          <w:jc w:val="center"/>
        </w:trPr>
        <w:tc>
          <w:tcPr>
            <w:tcW w:w="2134" w:type="dxa"/>
            <w:vMerge/>
            <w:vAlign w:val="center"/>
          </w:tcPr>
          <w:p w14:paraId="562FF2F8" w14:textId="77777777" w:rsidR="00094034" w:rsidRDefault="00094034">
            <w:pPr>
              <w:jc w:val="center"/>
              <w:rPr>
                <w:rFonts w:ascii="Times New Roman" w:hAnsi="Times New Roman" w:cs="Times New Roman"/>
                <w:szCs w:val="21"/>
              </w:rPr>
            </w:pPr>
          </w:p>
        </w:tc>
        <w:tc>
          <w:tcPr>
            <w:tcW w:w="2013" w:type="dxa"/>
            <w:vAlign w:val="center"/>
          </w:tcPr>
          <w:p w14:paraId="0888F0C9"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w:t>
            </w:r>
          </w:p>
        </w:tc>
        <w:tc>
          <w:tcPr>
            <w:tcW w:w="2087" w:type="dxa"/>
            <w:vAlign w:val="center"/>
          </w:tcPr>
          <w:p w14:paraId="0889F696"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8.71</w:t>
            </w:r>
          </w:p>
        </w:tc>
        <w:tc>
          <w:tcPr>
            <w:tcW w:w="2404" w:type="dxa"/>
            <w:vAlign w:val="center"/>
          </w:tcPr>
          <w:p w14:paraId="2FC5885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-1.47%</w:t>
            </w:r>
          </w:p>
        </w:tc>
      </w:tr>
      <w:tr w:rsidR="00094034" w14:paraId="1BCE0BEC" w14:textId="77777777">
        <w:trPr>
          <w:trHeight w:val="340"/>
          <w:jc w:val="center"/>
        </w:trPr>
        <w:tc>
          <w:tcPr>
            <w:tcW w:w="2134" w:type="dxa"/>
            <w:vAlign w:val="center"/>
          </w:tcPr>
          <w:p w14:paraId="4919AFD7"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颗粒物浓度点</w:t>
            </w:r>
          </w:p>
        </w:tc>
        <w:tc>
          <w:tcPr>
            <w:tcW w:w="2013" w:type="dxa"/>
            <w:vAlign w:val="center"/>
          </w:tcPr>
          <w:p w14:paraId="797BADB5"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设备厂商</w:t>
            </w:r>
          </w:p>
        </w:tc>
        <w:tc>
          <w:tcPr>
            <w:tcW w:w="2087" w:type="dxa"/>
            <w:vAlign w:val="center"/>
          </w:tcPr>
          <w:p w14:paraId="18C3FA75"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平均值（</w:t>
            </w:r>
            <w:r w:rsidRPr="00742CC3">
              <w:rPr>
                <w:rFonts w:ascii="Times New Roman" w:hAnsi="Times New Roman" w:cs="Times New Roman" w:hint="eastAsia"/>
                <w:szCs w:val="21"/>
              </w:rPr>
              <w:t>mg/m3</w:t>
            </w:r>
            <w:r w:rsidRPr="00742CC3">
              <w:rPr>
                <w:rFonts w:ascii="Times New Roman" w:hAnsi="Times New Roman" w:cs="Times New Roman" w:hint="eastAsia"/>
                <w:szCs w:val="21"/>
              </w:rPr>
              <w:t>）</w:t>
            </w:r>
          </w:p>
        </w:tc>
        <w:tc>
          <w:tcPr>
            <w:tcW w:w="2404" w:type="dxa"/>
            <w:vAlign w:val="center"/>
          </w:tcPr>
          <w:p w14:paraId="316C1E2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示值误差（</w:t>
            </w:r>
            <w:r w:rsidRPr="00742CC3">
              <w:rPr>
                <w:rFonts w:ascii="Times New Roman" w:hAnsi="Times New Roman" w:cs="Times New Roman" w:hint="eastAsia"/>
                <w:szCs w:val="21"/>
              </w:rPr>
              <w:t>%</w:t>
            </w:r>
            <w:r w:rsidRPr="00742CC3">
              <w:rPr>
                <w:rFonts w:ascii="Times New Roman" w:hAnsi="Times New Roman" w:cs="Times New Roman" w:hint="eastAsia"/>
                <w:szCs w:val="21"/>
              </w:rPr>
              <w:t>）</w:t>
            </w:r>
          </w:p>
        </w:tc>
      </w:tr>
      <w:tr w:rsidR="00094034" w14:paraId="45D7AF63" w14:textId="77777777">
        <w:trPr>
          <w:trHeight w:val="340"/>
          <w:jc w:val="center"/>
        </w:trPr>
        <w:tc>
          <w:tcPr>
            <w:tcW w:w="2134" w:type="dxa"/>
            <w:vMerge w:val="restart"/>
            <w:vAlign w:val="center"/>
          </w:tcPr>
          <w:p w14:paraId="4AAC2E55"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5mg/m</w:t>
            </w:r>
            <w:r>
              <w:rPr>
                <w:rFonts w:ascii="Times New Roman" w:hAnsi="Times New Roman" w:cs="Times New Roman" w:hint="eastAsia"/>
                <w:szCs w:val="21"/>
                <w:vertAlign w:val="superscript"/>
              </w:rPr>
              <w:t>3</w:t>
            </w:r>
          </w:p>
          <w:p w14:paraId="4A7A454D"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4FC16D51"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4A8BAE2B"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5.45</w:t>
            </w:r>
          </w:p>
        </w:tc>
        <w:tc>
          <w:tcPr>
            <w:tcW w:w="2404" w:type="dxa"/>
            <w:shd w:val="clear" w:color="auto" w:fill="FFFF00"/>
            <w:vAlign w:val="center"/>
          </w:tcPr>
          <w:p w14:paraId="6BA5771E"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75D7CB3C" w14:textId="77777777">
        <w:trPr>
          <w:trHeight w:val="340"/>
          <w:jc w:val="center"/>
        </w:trPr>
        <w:tc>
          <w:tcPr>
            <w:tcW w:w="2134" w:type="dxa"/>
            <w:vMerge/>
            <w:vAlign w:val="center"/>
          </w:tcPr>
          <w:p w14:paraId="7E703B9B" w14:textId="77777777" w:rsidR="00094034" w:rsidRDefault="00094034">
            <w:pPr>
              <w:jc w:val="center"/>
              <w:rPr>
                <w:rFonts w:ascii="Times New Roman" w:hAnsi="Times New Roman" w:cs="Times New Roman"/>
                <w:szCs w:val="21"/>
              </w:rPr>
            </w:pPr>
          </w:p>
        </w:tc>
        <w:tc>
          <w:tcPr>
            <w:tcW w:w="2013" w:type="dxa"/>
            <w:vAlign w:val="center"/>
          </w:tcPr>
          <w:p w14:paraId="32ABB6E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w:t>
            </w:r>
          </w:p>
        </w:tc>
        <w:tc>
          <w:tcPr>
            <w:tcW w:w="2087" w:type="dxa"/>
            <w:vAlign w:val="center"/>
          </w:tcPr>
          <w:p w14:paraId="00956144"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5.46</w:t>
            </w:r>
          </w:p>
        </w:tc>
        <w:tc>
          <w:tcPr>
            <w:tcW w:w="2404" w:type="dxa"/>
            <w:vAlign w:val="center"/>
          </w:tcPr>
          <w:p w14:paraId="7DC125E5"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0.18%</w:t>
            </w:r>
          </w:p>
        </w:tc>
      </w:tr>
      <w:tr w:rsidR="00094034" w14:paraId="029DEFB5" w14:textId="77777777">
        <w:trPr>
          <w:trHeight w:val="340"/>
          <w:jc w:val="center"/>
        </w:trPr>
        <w:tc>
          <w:tcPr>
            <w:tcW w:w="2134" w:type="dxa"/>
            <w:vMerge/>
            <w:vAlign w:val="center"/>
          </w:tcPr>
          <w:p w14:paraId="729CAAB7" w14:textId="77777777" w:rsidR="00094034" w:rsidRDefault="00094034">
            <w:pPr>
              <w:jc w:val="center"/>
              <w:rPr>
                <w:rFonts w:ascii="Times New Roman" w:hAnsi="Times New Roman" w:cs="Times New Roman"/>
                <w:szCs w:val="21"/>
              </w:rPr>
            </w:pPr>
          </w:p>
        </w:tc>
        <w:tc>
          <w:tcPr>
            <w:tcW w:w="2013" w:type="dxa"/>
            <w:vAlign w:val="center"/>
          </w:tcPr>
          <w:p w14:paraId="7F4E1A4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w:t>
            </w:r>
          </w:p>
        </w:tc>
        <w:tc>
          <w:tcPr>
            <w:tcW w:w="2087" w:type="dxa"/>
            <w:vAlign w:val="center"/>
          </w:tcPr>
          <w:p w14:paraId="7253E47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5.44</w:t>
            </w:r>
          </w:p>
        </w:tc>
        <w:tc>
          <w:tcPr>
            <w:tcW w:w="2404" w:type="dxa"/>
            <w:vAlign w:val="center"/>
          </w:tcPr>
          <w:p w14:paraId="1771C4F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-0.18%</w:t>
            </w:r>
          </w:p>
        </w:tc>
      </w:tr>
      <w:tr w:rsidR="00094034" w14:paraId="4374AB13" w14:textId="77777777">
        <w:trPr>
          <w:trHeight w:val="340"/>
          <w:jc w:val="center"/>
        </w:trPr>
        <w:tc>
          <w:tcPr>
            <w:tcW w:w="2134" w:type="dxa"/>
            <w:vMerge/>
            <w:vAlign w:val="center"/>
          </w:tcPr>
          <w:p w14:paraId="00019A2C" w14:textId="77777777" w:rsidR="00094034" w:rsidRDefault="00094034">
            <w:pPr>
              <w:jc w:val="center"/>
              <w:rPr>
                <w:rFonts w:ascii="Times New Roman" w:hAnsi="Times New Roman" w:cs="Times New Roman"/>
                <w:szCs w:val="21"/>
              </w:rPr>
            </w:pPr>
          </w:p>
        </w:tc>
        <w:tc>
          <w:tcPr>
            <w:tcW w:w="2013" w:type="dxa"/>
            <w:vAlign w:val="center"/>
          </w:tcPr>
          <w:p w14:paraId="58842BEE"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w:t>
            </w:r>
          </w:p>
        </w:tc>
        <w:tc>
          <w:tcPr>
            <w:tcW w:w="2087" w:type="dxa"/>
            <w:vAlign w:val="center"/>
          </w:tcPr>
          <w:p w14:paraId="61961ECC"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6.04</w:t>
            </w:r>
          </w:p>
        </w:tc>
        <w:tc>
          <w:tcPr>
            <w:tcW w:w="2404" w:type="dxa"/>
            <w:vAlign w:val="center"/>
          </w:tcPr>
          <w:p w14:paraId="57286341"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10.83%</w:t>
            </w:r>
          </w:p>
        </w:tc>
      </w:tr>
      <w:tr w:rsidR="00094034" w14:paraId="269A267E" w14:textId="77777777">
        <w:trPr>
          <w:trHeight w:val="340"/>
          <w:jc w:val="center"/>
        </w:trPr>
        <w:tc>
          <w:tcPr>
            <w:tcW w:w="2134" w:type="dxa"/>
            <w:vMerge/>
            <w:vAlign w:val="center"/>
          </w:tcPr>
          <w:p w14:paraId="6DD3D868"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73220C2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7C3A5165"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5.56</w:t>
            </w:r>
          </w:p>
        </w:tc>
        <w:tc>
          <w:tcPr>
            <w:tcW w:w="2404" w:type="dxa"/>
            <w:shd w:val="clear" w:color="auto" w:fill="FFFF00"/>
            <w:vAlign w:val="center"/>
          </w:tcPr>
          <w:p w14:paraId="6451864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3C25CD31" w14:textId="77777777">
        <w:trPr>
          <w:trHeight w:val="340"/>
          <w:jc w:val="center"/>
        </w:trPr>
        <w:tc>
          <w:tcPr>
            <w:tcW w:w="2134" w:type="dxa"/>
            <w:vMerge/>
            <w:vAlign w:val="center"/>
          </w:tcPr>
          <w:p w14:paraId="02C3868B" w14:textId="77777777" w:rsidR="00094034" w:rsidRDefault="00094034">
            <w:pPr>
              <w:jc w:val="center"/>
              <w:rPr>
                <w:rFonts w:ascii="Times New Roman" w:hAnsi="Times New Roman" w:cs="Times New Roman"/>
                <w:szCs w:val="21"/>
              </w:rPr>
            </w:pPr>
          </w:p>
        </w:tc>
        <w:tc>
          <w:tcPr>
            <w:tcW w:w="2013" w:type="dxa"/>
            <w:vAlign w:val="center"/>
          </w:tcPr>
          <w:p w14:paraId="220D4303"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w:t>
            </w:r>
          </w:p>
        </w:tc>
        <w:tc>
          <w:tcPr>
            <w:tcW w:w="2087" w:type="dxa"/>
            <w:vAlign w:val="center"/>
          </w:tcPr>
          <w:p w14:paraId="71D08CA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3.38</w:t>
            </w:r>
          </w:p>
        </w:tc>
        <w:tc>
          <w:tcPr>
            <w:tcW w:w="2404" w:type="dxa"/>
            <w:vAlign w:val="center"/>
          </w:tcPr>
          <w:p w14:paraId="68AFD25B"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-39.21%</w:t>
            </w:r>
          </w:p>
        </w:tc>
      </w:tr>
      <w:tr w:rsidR="00094034" w14:paraId="2247F414" w14:textId="77777777">
        <w:trPr>
          <w:trHeight w:val="340"/>
          <w:jc w:val="center"/>
        </w:trPr>
        <w:tc>
          <w:tcPr>
            <w:tcW w:w="2134" w:type="dxa"/>
            <w:vMerge/>
            <w:vAlign w:val="center"/>
          </w:tcPr>
          <w:p w14:paraId="113DAC5E" w14:textId="77777777" w:rsidR="00094034" w:rsidRDefault="00094034">
            <w:pPr>
              <w:jc w:val="center"/>
              <w:rPr>
                <w:rFonts w:ascii="Times New Roman" w:hAnsi="Times New Roman" w:cs="Times New Roman"/>
                <w:szCs w:val="21"/>
              </w:rPr>
            </w:pPr>
          </w:p>
        </w:tc>
        <w:tc>
          <w:tcPr>
            <w:tcW w:w="2013" w:type="dxa"/>
            <w:vAlign w:val="center"/>
          </w:tcPr>
          <w:p w14:paraId="060A4448"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w:t>
            </w:r>
          </w:p>
        </w:tc>
        <w:tc>
          <w:tcPr>
            <w:tcW w:w="2087" w:type="dxa"/>
            <w:vAlign w:val="center"/>
          </w:tcPr>
          <w:p w14:paraId="52EA1F2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3.63</w:t>
            </w:r>
          </w:p>
        </w:tc>
        <w:tc>
          <w:tcPr>
            <w:tcW w:w="2404" w:type="dxa"/>
            <w:vAlign w:val="center"/>
          </w:tcPr>
          <w:p w14:paraId="7AB8E577"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-34.71%</w:t>
            </w:r>
          </w:p>
        </w:tc>
      </w:tr>
      <w:tr w:rsidR="00094034" w14:paraId="1BB1790F" w14:textId="77777777">
        <w:trPr>
          <w:trHeight w:val="340"/>
          <w:jc w:val="center"/>
        </w:trPr>
        <w:tc>
          <w:tcPr>
            <w:tcW w:w="2134" w:type="dxa"/>
            <w:vMerge w:val="restart"/>
            <w:vAlign w:val="center"/>
          </w:tcPr>
          <w:p w14:paraId="3D6B61D5"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20mg/m</w:t>
            </w:r>
            <w:r>
              <w:rPr>
                <w:rFonts w:ascii="Times New Roman" w:hAnsi="Times New Roman" w:cs="Times New Roman" w:hint="eastAsia"/>
                <w:szCs w:val="21"/>
                <w:vertAlign w:val="superscript"/>
              </w:rPr>
              <w:t>3</w:t>
            </w:r>
          </w:p>
          <w:p w14:paraId="5B94F58E"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7C9D25DE"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33C2BB5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21.78</w:t>
            </w:r>
          </w:p>
        </w:tc>
        <w:tc>
          <w:tcPr>
            <w:tcW w:w="2404" w:type="dxa"/>
            <w:shd w:val="clear" w:color="auto" w:fill="FFFF00"/>
            <w:vAlign w:val="center"/>
          </w:tcPr>
          <w:p w14:paraId="5099146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70F225F8" w14:textId="77777777">
        <w:trPr>
          <w:trHeight w:val="340"/>
          <w:jc w:val="center"/>
        </w:trPr>
        <w:tc>
          <w:tcPr>
            <w:tcW w:w="2134" w:type="dxa"/>
            <w:vMerge/>
            <w:vAlign w:val="center"/>
          </w:tcPr>
          <w:p w14:paraId="027DF7AA" w14:textId="77777777" w:rsidR="00094034" w:rsidRDefault="00094034">
            <w:pPr>
              <w:jc w:val="center"/>
              <w:rPr>
                <w:rFonts w:ascii="Times New Roman" w:hAnsi="Times New Roman" w:cs="Times New Roman"/>
                <w:szCs w:val="21"/>
              </w:rPr>
            </w:pPr>
          </w:p>
        </w:tc>
        <w:tc>
          <w:tcPr>
            <w:tcW w:w="2013" w:type="dxa"/>
            <w:vAlign w:val="center"/>
          </w:tcPr>
          <w:p w14:paraId="3592E59D"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w:t>
            </w:r>
          </w:p>
        </w:tc>
        <w:tc>
          <w:tcPr>
            <w:tcW w:w="2087" w:type="dxa"/>
            <w:vAlign w:val="center"/>
          </w:tcPr>
          <w:p w14:paraId="5F7F7BFF"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22.89</w:t>
            </w:r>
          </w:p>
        </w:tc>
        <w:tc>
          <w:tcPr>
            <w:tcW w:w="2404" w:type="dxa"/>
            <w:vAlign w:val="center"/>
          </w:tcPr>
          <w:p w14:paraId="38C4CCD0"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5.10%</w:t>
            </w:r>
          </w:p>
        </w:tc>
      </w:tr>
      <w:tr w:rsidR="00094034" w14:paraId="5CBE8698" w14:textId="77777777">
        <w:trPr>
          <w:trHeight w:val="340"/>
          <w:jc w:val="center"/>
        </w:trPr>
        <w:tc>
          <w:tcPr>
            <w:tcW w:w="2134" w:type="dxa"/>
            <w:vMerge/>
            <w:vAlign w:val="center"/>
          </w:tcPr>
          <w:p w14:paraId="14A79634" w14:textId="77777777" w:rsidR="00094034" w:rsidRDefault="00094034">
            <w:pPr>
              <w:jc w:val="center"/>
              <w:rPr>
                <w:rFonts w:ascii="Times New Roman" w:hAnsi="Times New Roman" w:cs="Times New Roman"/>
                <w:szCs w:val="21"/>
              </w:rPr>
            </w:pPr>
          </w:p>
        </w:tc>
        <w:tc>
          <w:tcPr>
            <w:tcW w:w="2013" w:type="dxa"/>
            <w:vAlign w:val="center"/>
          </w:tcPr>
          <w:p w14:paraId="7C3A0D26"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w:t>
            </w:r>
          </w:p>
        </w:tc>
        <w:tc>
          <w:tcPr>
            <w:tcW w:w="2087" w:type="dxa"/>
            <w:vAlign w:val="center"/>
          </w:tcPr>
          <w:p w14:paraId="5A1756D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21.62</w:t>
            </w:r>
          </w:p>
        </w:tc>
        <w:tc>
          <w:tcPr>
            <w:tcW w:w="2404" w:type="dxa"/>
            <w:vAlign w:val="center"/>
          </w:tcPr>
          <w:p w14:paraId="4C6BC056"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-0.73%</w:t>
            </w:r>
          </w:p>
        </w:tc>
      </w:tr>
      <w:tr w:rsidR="00094034" w14:paraId="61925E90" w14:textId="77777777">
        <w:trPr>
          <w:trHeight w:val="340"/>
          <w:jc w:val="center"/>
        </w:trPr>
        <w:tc>
          <w:tcPr>
            <w:tcW w:w="2134" w:type="dxa"/>
            <w:vMerge/>
            <w:vAlign w:val="center"/>
          </w:tcPr>
          <w:p w14:paraId="143E6FE1" w14:textId="77777777" w:rsidR="00094034" w:rsidRDefault="00094034">
            <w:pPr>
              <w:jc w:val="center"/>
              <w:rPr>
                <w:rFonts w:ascii="Times New Roman" w:hAnsi="Times New Roman" w:cs="Times New Roman"/>
                <w:szCs w:val="21"/>
              </w:rPr>
            </w:pPr>
          </w:p>
        </w:tc>
        <w:tc>
          <w:tcPr>
            <w:tcW w:w="2013" w:type="dxa"/>
            <w:vAlign w:val="center"/>
          </w:tcPr>
          <w:p w14:paraId="3A56CB7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w:t>
            </w:r>
          </w:p>
        </w:tc>
        <w:tc>
          <w:tcPr>
            <w:tcW w:w="2087" w:type="dxa"/>
            <w:vAlign w:val="center"/>
          </w:tcPr>
          <w:p w14:paraId="2EC8DEC3"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20.42</w:t>
            </w:r>
          </w:p>
        </w:tc>
        <w:tc>
          <w:tcPr>
            <w:tcW w:w="2404" w:type="dxa"/>
            <w:vAlign w:val="center"/>
          </w:tcPr>
          <w:p w14:paraId="6B16B7B4"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-6.24%</w:t>
            </w:r>
          </w:p>
        </w:tc>
      </w:tr>
      <w:tr w:rsidR="00094034" w14:paraId="78118699" w14:textId="77777777">
        <w:trPr>
          <w:trHeight w:val="340"/>
          <w:jc w:val="center"/>
        </w:trPr>
        <w:tc>
          <w:tcPr>
            <w:tcW w:w="2134" w:type="dxa"/>
            <w:vMerge/>
            <w:vAlign w:val="center"/>
          </w:tcPr>
          <w:p w14:paraId="4742A2FD"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6273943B"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070A90DA"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18.69</w:t>
            </w:r>
          </w:p>
        </w:tc>
        <w:tc>
          <w:tcPr>
            <w:tcW w:w="2404" w:type="dxa"/>
            <w:shd w:val="clear" w:color="auto" w:fill="FFFF00"/>
            <w:vAlign w:val="center"/>
          </w:tcPr>
          <w:p w14:paraId="3B63A083"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678AB997" w14:textId="77777777">
        <w:trPr>
          <w:trHeight w:val="340"/>
          <w:jc w:val="center"/>
        </w:trPr>
        <w:tc>
          <w:tcPr>
            <w:tcW w:w="2134" w:type="dxa"/>
            <w:vMerge/>
            <w:vAlign w:val="center"/>
          </w:tcPr>
          <w:p w14:paraId="53658096" w14:textId="77777777" w:rsidR="00094034" w:rsidRDefault="00094034">
            <w:pPr>
              <w:jc w:val="center"/>
              <w:rPr>
                <w:rFonts w:ascii="Times New Roman" w:hAnsi="Times New Roman" w:cs="Times New Roman"/>
                <w:szCs w:val="21"/>
              </w:rPr>
            </w:pPr>
          </w:p>
        </w:tc>
        <w:tc>
          <w:tcPr>
            <w:tcW w:w="2013" w:type="dxa"/>
            <w:vAlign w:val="center"/>
          </w:tcPr>
          <w:p w14:paraId="7802CEA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w:t>
            </w:r>
          </w:p>
        </w:tc>
        <w:tc>
          <w:tcPr>
            <w:tcW w:w="2087" w:type="dxa"/>
            <w:vAlign w:val="center"/>
          </w:tcPr>
          <w:p w14:paraId="1EBE1C62"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11.20</w:t>
            </w:r>
          </w:p>
        </w:tc>
        <w:tc>
          <w:tcPr>
            <w:tcW w:w="2404" w:type="dxa"/>
            <w:vAlign w:val="center"/>
          </w:tcPr>
          <w:p w14:paraId="7E539511"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-40.07%</w:t>
            </w:r>
          </w:p>
        </w:tc>
      </w:tr>
      <w:tr w:rsidR="00094034" w14:paraId="2F60DC2A" w14:textId="77777777">
        <w:trPr>
          <w:trHeight w:val="340"/>
          <w:jc w:val="center"/>
        </w:trPr>
        <w:tc>
          <w:tcPr>
            <w:tcW w:w="2134" w:type="dxa"/>
            <w:vMerge/>
            <w:vAlign w:val="center"/>
          </w:tcPr>
          <w:p w14:paraId="4FFEBEFB" w14:textId="77777777" w:rsidR="00094034" w:rsidRDefault="00094034">
            <w:pPr>
              <w:jc w:val="center"/>
              <w:rPr>
                <w:rFonts w:ascii="Times New Roman" w:hAnsi="Times New Roman" w:cs="Times New Roman"/>
                <w:szCs w:val="21"/>
              </w:rPr>
            </w:pPr>
          </w:p>
        </w:tc>
        <w:tc>
          <w:tcPr>
            <w:tcW w:w="2013" w:type="dxa"/>
            <w:vAlign w:val="center"/>
          </w:tcPr>
          <w:p w14:paraId="7AF176F3"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5</w:t>
            </w:r>
          </w:p>
        </w:tc>
        <w:tc>
          <w:tcPr>
            <w:tcW w:w="2087" w:type="dxa"/>
            <w:vAlign w:val="center"/>
          </w:tcPr>
          <w:p w14:paraId="1C6D4B54"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11.50</w:t>
            </w:r>
          </w:p>
        </w:tc>
        <w:tc>
          <w:tcPr>
            <w:tcW w:w="2404" w:type="dxa"/>
            <w:vAlign w:val="center"/>
          </w:tcPr>
          <w:p w14:paraId="27EFA385"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-38.47%</w:t>
            </w:r>
          </w:p>
        </w:tc>
      </w:tr>
      <w:tr w:rsidR="00094034" w14:paraId="782D7FBA" w14:textId="77777777">
        <w:trPr>
          <w:trHeight w:val="340"/>
          <w:jc w:val="center"/>
        </w:trPr>
        <w:tc>
          <w:tcPr>
            <w:tcW w:w="2134" w:type="dxa"/>
            <w:vMerge w:val="restart"/>
            <w:vAlign w:val="center"/>
          </w:tcPr>
          <w:p w14:paraId="31EB0F99"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35mg/m</w:t>
            </w:r>
            <w:r>
              <w:rPr>
                <w:rFonts w:ascii="Times New Roman" w:hAnsi="Times New Roman" w:cs="Times New Roman" w:hint="eastAsia"/>
                <w:szCs w:val="21"/>
                <w:vertAlign w:val="superscript"/>
              </w:rPr>
              <w:t>3</w:t>
            </w:r>
          </w:p>
        </w:tc>
        <w:tc>
          <w:tcPr>
            <w:tcW w:w="2013" w:type="dxa"/>
            <w:shd w:val="clear" w:color="auto" w:fill="FFFF00"/>
            <w:vAlign w:val="center"/>
          </w:tcPr>
          <w:p w14:paraId="21C24058"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参考仪器</w:t>
            </w:r>
          </w:p>
        </w:tc>
        <w:tc>
          <w:tcPr>
            <w:tcW w:w="2087" w:type="dxa"/>
            <w:shd w:val="clear" w:color="auto" w:fill="FFFF00"/>
            <w:vAlign w:val="center"/>
          </w:tcPr>
          <w:p w14:paraId="342B28B1"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31.38</w:t>
            </w:r>
          </w:p>
        </w:tc>
        <w:tc>
          <w:tcPr>
            <w:tcW w:w="2404" w:type="dxa"/>
            <w:shd w:val="clear" w:color="auto" w:fill="FFFF00"/>
            <w:vAlign w:val="center"/>
          </w:tcPr>
          <w:p w14:paraId="76C4D508" w14:textId="77777777" w:rsidR="00094034" w:rsidRPr="00742CC3" w:rsidRDefault="00000000">
            <w:pPr>
              <w:jc w:val="center"/>
              <w:rPr>
                <w:rFonts w:ascii="Times New Roman" w:hAnsi="Times New Roman" w:cs="Times New Roman"/>
                <w:szCs w:val="21"/>
              </w:rPr>
            </w:pPr>
            <w:r w:rsidRPr="00742CC3">
              <w:rPr>
                <w:rFonts w:ascii="Times New Roman" w:hAnsi="Times New Roman" w:cs="Times New Roman" w:hint="eastAsia"/>
                <w:szCs w:val="21"/>
              </w:rPr>
              <w:t>/</w:t>
            </w:r>
          </w:p>
        </w:tc>
      </w:tr>
      <w:tr w:rsidR="00094034" w14:paraId="7CA0B3F1" w14:textId="77777777">
        <w:trPr>
          <w:trHeight w:val="340"/>
          <w:jc w:val="center"/>
        </w:trPr>
        <w:tc>
          <w:tcPr>
            <w:tcW w:w="2134" w:type="dxa"/>
            <w:vMerge/>
            <w:vAlign w:val="center"/>
          </w:tcPr>
          <w:p w14:paraId="0489EB19" w14:textId="77777777" w:rsidR="00094034" w:rsidRDefault="00094034">
            <w:pPr>
              <w:jc w:val="center"/>
              <w:rPr>
                <w:rFonts w:ascii="Times New Roman" w:hAnsi="Times New Roman" w:cs="Times New Roman"/>
                <w:szCs w:val="21"/>
              </w:rPr>
            </w:pPr>
          </w:p>
        </w:tc>
        <w:tc>
          <w:tcPr>
            <w:tcW w:w="2013" w:type="dxa"/>
            <w:vAlign w:val="center"/>
          </w:tcPr>
          <w:p w14:paraId="3A0CE08B"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1</w:t>
            </w:r>
          </w:p>
        </w:tc>
        <w:tc>
          <w:tcPr>
            <w:tcW w:w="2087" w:type="dxa"/>
            <w:vAlign w:val="center"/>
          </w:tcPr>
          <w:p w14:paraId="1B0F12C2"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34.54</w:t>
            </w:r>
          </w:p>
        </w:tc>
        <w:tc>
          <w:tcPr>
            <w:tcW w:w="2404" w:type="dxa"/>
            <w:vAlign w:val="center"/>
          </w:tcPr>
          <w:p w14:paraId="2C4F6349"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10.07%</w:t>
            </w:r>
          </w:p>
        </w:tc>
      </w:tr>
      <w:tr w:rsidR="00094034" w14:paraId="78820F20" w14:textId="77777777">
        <w:trPr>
          <w:trHeight w:val="340"/>
          <w:jc w:val="center"/>
        </w:trPr>
        <w:tc>
          <w:tcPr>
            <w:tcW w:w="2134" w:type="dxa"/>
            <w:vMerge/>
            <w:vAlign w:val="center"/>
          </w:tcPr>
          <w:p w14:paraId="3C242F3E" w14:textId="77777777" w:rsidR="00094034" w:rsidRDefault="00094034">
            <w:pPr>
              <w:jc w:val="center"/>
              <w:rPr>
                <w:rFonts w:ascii="Times New Roman" w:hAnsi="Times New Roman" w:cs="Times New Roman"/>
                <w:szCs w:val="21"/>
              </w:rPr>
            </w:pPr>
          </w:p>
        </w:tc>
        <w:tc>
          <w:tcPr>
            <w:tcW w:w="2013" w:type="dxa"/>
            <w:vAlign w:val="center"/>
          </w:tcPr>
          <w:p w14:paraId="53353FC1"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2</w:t>
            </w:r>
          </w:p>
        </w:tc>
        <w:tc>
          <w:tcPr>
            <w:tcW w:w="2087" w:type="dxa"/>
            <w:vAlign w:val="center"/>
          </w:tcPr>
          <w:p w14:paraId="3CDBADF9"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32.53</w:t>
            </w:r>
          </w:p>
        </w:tc>
        <w:tc>
          <w:tcPr>
            <w:tcW w:w="2404" w:type="dxa"/>
            <w:vAlign w:val="center"/>
          </w:tcPr>
          <w:p w14:paraId="52AE01A6"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3.66%</w:t>
            </w:r>
          </w:p>
        </w:tc>
      </w:tr>
      <w:tr w:rsidR="00094034" w14:paraId="577EE779" w14:textId="77777777">
        <w:trPr>
          <w:trHeight w:val="340"/>
          <w:jc w:val="center"/>
        </w:trPr>
        <w:tc>
          <w:tcPr>
            <w:tcW w:w="2134" w:type="dxa"/>
            <w:vMerge/>
            <w:vAlign w:val="center"/>
          </w:tcPr>
          <w:p w14:paraId="308B25F4" w14:textId="77777777" w:rsidR="00094034" w:rsidRDefault="00094034">
            <w:pPr>
              <w:jc w:val="center"/>
              <w:rPr>
                <w:rFonts w:ascii="Times New Roman" w:hAnsi="Times New Roman" w:cs="Times New Roman"/>
                <w:szCs w:val="21"/>
              </w:rPr>
            </w:pPr>
          </w:p>
        </w:tc>
        <w:tc>
          <w:tcPr>
            <w:tcW w:w="2013" w:type="dxa"/>
            <w:vAlign w:val="center"/>
          </w:tcPr>
          <w:p w14:paraId="653BC7B2"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w:t>
            </w:r>
          </w:p>
        </w:tc>
        <w:tc>
          <w:tcPr>
            <w:tcW w:w="2087" w:type="dxa"/>
            <w:vAlign w:val="center"/>
          </w:tcPr>
          <w:p w14:paraId="4168F17F"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31.92</w:t>
            </w:r>
          </w:p>
        </w:tc>
        <w:tc>
          <w:tcPr>
            <w:tcW w:w="2404" w:type="dxa"/>
            <w:vAlign w:val="center"/>
          </w:tcPr>
          <w:p w14:paraId="72057C4F"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1.72%</w:t>
            </w:r>
          </w:p>
        </w:tc>
      </w:tr>
      <w:tr w:rsidR="00094034" w14:paraId="2CD59A28" w14:textId="77777777">
        <w:trPr>
          <w:trHeight w:val="340"/>
          <w:jc w:val="center"/>
        </w:trPr>
        <w:tc>
          <w:tcPr>
            <w:tcW w:w="2134" w:type="dxa"/>
            <w:vMerge/>
            <w:vAlign w:val="center"/>
          </w:tcPr>
          <w:p w14:paraId="3A82E1B4" w14:textId="77777777" w:rsidR="00094034" w:rsidRDefault="00094034">
            <w:pPr>
              <w:jc w:val="center"/>
              <w:rPr>
                <w:rFonts w:ascii="Times New Roman" w:hAnsi="Times New Roman" w:cs="Times New Roman"/>
                <w:szCs w:val="21"/>
              </w:rPr>
            </w:pPr>
          </w:p>
        </w:tc>
        <w:tc>
          <w:tcPr>
            <w:tcW w:w="2013" w:type="dxa"/>
            <w:shd w:val="clear" w:color="auto" w:fill="FFFF00"/>
            <w:vAlign w:val="center"/>
          </w:tcPr>
          <w:p w14:paraId="4A197A93"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参考仪器</w:t>
            </w:r>
          </w:p>
        </w:tc>
        <w:tc>
          <w:tcPr>
            <w:tcW w:w="2087" w:type="dxa"/>
            <w:shd w:val="clear" w:color="auto" w:fill="FFFF00"/>
            <w:vAlign w:val="center"/>
          </w:tcPr>
          <w:p w14:paraId="4E803E7B"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31.98</w:t>
            </w:r>
          </w:p>
        </w:tc>
        <w:tc>
          <w:tcPr>
            <w:tcW w:w="2404" w:type="dxa"/>
            <w:shd w:val="clear" w:color="auto" w:fill="FFFF00"/>
            <w:vAlign w:val="center"/>
          </w:tcPr>
          <w:p w14:paraId="28E9CFCC"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w:t>
            </w:r>
          </w:p>
        </w:tc>
      </w:tr>
      <w:tr w:rsidR="00094034" w14:paraId="6273D5F5" w14:textId="77777777">
        <w:trPr>
          <w:trHeight w:val="340"/>
          <w:jc w:val="center"/>
        </w:trPr>
        <w:tc>
          <w:tcPr>
            <w:tcW w:w="2134" w:type="dxa"/>
            <w:vMerge/>
            <w:vAlign w:val="center"/>
          </w:tcPr>
          <w:p w14:paraId="1987AA3B" w14:textId="77777777" w:rsidR="00094034" w:rsidRDefault="00094034">
            <w:pPr>
              <w:jc w:val="center"/>
              <w:rPr>
                <w:rFonts w:ascii="Times New Roman" w:hAnsi="Times New Roman" w:cs="Times New Roman"/>
                <w:sz w:val="24"/>
              </w:rPr>
            </w:pPr>
          </w:p>
        </w:tc>
        <w:tc>
          <w:tcPr>
            <w:tcW w:w="2013" w:type="dxa"/>
            <w:vAlign w:val="center"/>
          </w:tcPr>
          <w:p w14:paraId="049A47AB"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4</w:t>
            </w:r>
          </w:p>
        </w:tc>
        <w:tc>
          <w:tcPr>
            <w:tcW w:w="2087" w:type="dxa"/>
            <w:vAlign w:val="center"/>
          </w:tcPr>
          <w:p w14:paraId="2DBC215F"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16.13</w:t>
            </w:r>
          </w:p>
        </w:tc>
        <w:tc>
          <w:tcPr>
            <w:tcW w:w="2404" w:type="dxa"/>
            <w:vAlign w:val="center"/>
          </w:tcPr>
          <w:p w14:paraId="25590079"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-49.56%</w:t>
            </w:r>
          </w:p>
        </w:tc>
      </w:tr>
      <w:tr w:rsidR="00094034" w14:paraId="4E93E543" w14:textId="77777777">
        <w:trPr>
          <w:trHeight w:val="340"/>
          <w:jc w:val="center"/>
        </w:trPr>
        <w:tc>
          <w:tcPr>
            <w:tcW w:w="2134" w:type="dxa"/>
            <w:vMerge/>
            <w:vAlign w:val="center"/>
          </w:tcPr>
          <w:p w14:paraId="10E3F418" w14:textId="77777777" w:rsidR="00094034" w:rsidRDefault="00094034">
            <w:pPr>
              <w:jc w:val="center"/>
              <w:rPr>
                <w:rFonts w:ascii="Times New Roman" w:hAnsi="Times New Roman" w:cs="Times New Roman"/>
                <w:sz w:val="24"/>
              </w:rPr>
            </w:pPr>
          </w:p>
        </w:tc>
        <w:tc>
          <w:tcPr>
            <w:tcW w:w="2013" w:type="dxa"/>
            <w:vAlign w:val="center"/>
          </w:tcPr>
          <w:p w14:paraId="1417F944"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5</w:t>
            </w:r>
          </w:p>
        </w:tc>
        <w:tc>
          <w:tcPr>
            <w:tcW w:w="2087" w:type="dxa"/>
            <w:vAlign w:val="center"/>
          </w:tcPr>
          <w:p w14:paraId="76C2502F"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21.82</w:t>
            </w:r>
          </w:p>
        </w:tc>
        <w:tc>
          <w:tcPr>
            <w:tcW w:w="2404" w:type="dxa"/>
            <w:vAlign w:val="center"/>
          </w:tcPr>
          <w:p w14:paraId="178B1AE8" w14:textId="77777777" w:rsidR="00094034" w:rsidRDefault="00000000">
            <w:pPr>
              <w:jc w:val="center"/>
              <w:rPr>
                <w:rFonts w:ascii="Times New Roman" w:hAnsi="Times New Roman" w:cs="Times New Roman"/>
                <w:szCs w:val="21"/>
              </w:rPr>
            </w:pPr>
            <w:r>
              <w:rPr>
                <w:rFonts w:ascii="Times New Roman" w:hAnsi="Times New Roman" w:cs="Times New Roman" w:hint="eastAsia"/>
                <w:szCs w:val="21"/>
              </w:rPr>
              <w:t>-31.77%</w:t>
            </w:r>
          </w:p>
        </w:tc>
      </w:tr>
    </w:tbl>
    <w:p w14:paraId="1ACF10E9"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要求：不超过±20%</w:t>
      </w:r>
    </w:p>
    <w:p w14:paraId="6AB39039" w14:textId="4CF1B071" w:rsidR="00094034" w:rsidRDefault="00000000" w:rsidP="00A35B1B">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油烟示值误差试验表明，参加测试仪器均不超过±20%，符合标准要求。</w:t>
      </w:r>
    </w:p>
    <w:p w14:paraId="67DA2738" w14:textId="77777777" w:rsidR="00094034" w:rsidRDefault="00094034">
      <w:pPr>
        <w:rPr>
          <w:rFonts w:asciiTheme="majorEastAsia" w:eastAsiaTheme="majorEastAsia" w:hAnsiTheme="majorEastAsia" w:hint="eastAsia"/>
          <w:sz w:val="24"/>
        </w:rPr>
      </w:pPr>
    </w:p>
    <w:p w14:paraId="371F72ED" w14:textId="77777777" w:rsidR="00094034" w:rsidRDefault="00000000">
      <w:pPr>
        <w:jc w:val="center"/>
        <w:rPr>
          <w:rFonts w:asciiTheme="majorEastAsia" w:eastAsiaTheme="majorEastAsia" w:hAnsiTheme="majorEastAsia" w:hint="eastAsia"/>
          <w:sz w:val="24"/>
        </w:rPr>
      </w:pPr>
      <w:r>
        <w:rPr>
          <w:rFonts w:asciiTheme="majorEastAsia" w:eastAsiaTheme="majorEastAsia" w:hAnsiTheme="majorEastAsia" w:hint="eastAsia"/>
          <w:sz w:val="24"/>
        </w:rPr>
        <w:t>表12响应时间</w:t>
      </w:r>
    </w:p>
    <w:tbl>
      <w:tblPr>
        <w:tblStyle w:val="a9"/>
        <w:tblW w:w="0" w:type="auto"/>
        <w:tblLook w:val="04A0" w:firstRow="1" w:lastRow="0" w:firstColumn="1" w:lastColumn="0" w:noHBand="0" w:noVBand="1"/>
      </w:tblPr>
      <w:tblGrid>
        <w:gridCol w:w="1658"/>
        <w:gridCol w:w="1658"/>
        <w:gridCol w:w="1669"/>
        <w:gridCol w:w="3311"/>
      </w:tblGrid>
      <w:tr w:rsidR="00094034" w14:paraId="278ED35B" w14:textId="77777777">
        <w:trPr>
          <w:trHeight w:val="298"/>
        </w:trPr>
        <w:tc>
          <w:tcPr>
            <w:tcW w:w="1658" w:type="dxa"/>
            <w:vAlign w:val="center"/>
          </w:tcPr>
          <w:p w14:paraId="4C88B0EF" w14:textId="77777777" w:rsidR="00094034" w:rsidRDefault="00000000" w:rsidP="00742CC3">
            <w:pPr>
              <w:pStyle w:val="ac"/>
              <w:rPr>
                <w:rFonts w:hint="eastAsia"/>
              </w:rPr>
            </w:pPr>
            <w:r>
              <w:rPr>
                <w:rFonts w:hint="eastAsia"/>
              </w:rPr>
              <w:t>设备厂商</w:t>
            </w:r>
          </w:p>
        </w:tc>
        <w:tc>
          <w:tcPr>
            <w:tcW w:w="1658" w:type="dxa"/>
            <w:vAlign w:val="center"/>
          </w:tcPr>
          <w:p w14:paraId="32F89B90" w14:textId="77777777" w:rsidR="00094034" w:rsidRDefault="00000000" w:rsidP="00742CC3">
            <w:pPr>
              <w:pStyle w:val="ac"/>
              <w:rPr>
                <w:rFonts w:hint="eastAsia"/>
              </w:rPr>
            </w:pPr>
            <w:r>
              <w:rPr>
                <w:rFonts w:hint="eastAsia"/>
              </w:rPr>
              <w:t>次数</w:t>
            </w:r>
          </w:p>
        </w:tc>
        <w:tc>
          <w:tcPr>
            <w:tcW w:w="1669" w:type="dxa"/>
            <w:vAlign w:val="center"/>
          </w:tcPr>
          <w:p w14:paraId="0674BBE2" w14:textId="77777777" w:rsidR="00094034" w:rsidRDefault="00000000" w:rsidP="00742CC3">
            <w:pPr>
              <w:pStyle w:val="ac"/>
              <w:rPr>
                <w:rFonts w:hint="eastAsia"/>
              </w:rPr>
            </w:pPr>
            <w:r>
              <w:rPr>
                <w:rFonts w:hint="eastAsia"/>
              </w:rPr>
              <w:t>测定值（s）</w:t>
            </w:r>
          </w:p>
        </w:tc>
        <w:tc>
          <w:tcPr>
            <w:tcW w:w="3311" w:type="dxa"/>
            <w:vAlign w:val="center"/>
          </w:tcPr>
          <w:p w14:paraId="4758750A" w14:textId="77777777" w:rsidR="00094034" w:rsidRDefault="00000000" w:rsidP="00742CC3">
            <w:pPr>
              <w:pStyle w:val="ac"/>
              <w:rPr>
                <w:rFonts w:hint="eastAsia"/>
              </w:rPr>
            </w:pPr>
            <w:r>
              <w:rPr>
                <w:rFonts w:hint="eastAsia"/>
              </w:rPr>
              <w:t>响应时间（s）</w:t>
            </w:r>
          </w:p>
        </w:tc>
      </w:tr>
      <w:tr w:rsidR="00094034" w14:paraId="3E583EEA" w14:textId="77777777">
        <w:trPr>
          <w:trHeight w:val="238"/>
        </w:trPr>
        <w:tc>
          <w:tcPr>
            <w:tcW w:w="1658" w:type="dxa"/>
            <w:vMerge w:val="restart"/>
            <w:vAlign w:val="center"/>
          </w:tcPr>
          <w:p w14:paraId="2D4F11EB" w14:textId="77777777" w:rsidR="00094034" w:rsidRDefault="00000000" w:rsidP="00742CC3">
            <w:pPr>
              <w:pStyle w:val="ac"/>
              <w:rPr>
                <w:rFonts w:hint="eastAsia"/>
              </w:rPr>
            </w:pPr>
            <w:r>
              <w:rPr>
                <w:rFonts w:hint="eastAsia"/>
              </w:rPr>
              <w:t>1</w:t>
            </w:r>
          </w:p>
        </w:tc>
        <w:tc>
          <w:tcPr>
            <w:tcW w:w="1658" w:type="dxa"/>
            <w:vAlign w:val="center"/>
          </w:tcPr>
          <w:p w14:paraId="4D6F1F44" w14:textId="77777777" w:rsidR="00094034" w:rsidRDefault="00000000" w:rsidP="00742CC3">
            <w:pPr>
              <w:pStyle w:val="ac"/>
              <w:rPr>
                <w:rFonts w:hint="eastAsia"/>
              </w:rPr>
            </w:pPr>
            <w:r>
              <w:rPr>
                <w:rFonts w:hint="eastAsia"/>
              </w:rPr>
              <w:t>1</w:t>
            </w:r>
          </w:p>
        </w:tc>
        <w:tc>
          <w:tcPr>
            <w:tcW w:w="1669" w:type="dxa"/>
            <w:vAlign w:val="center"/>
          </w:tcPr>
          <w:p w14:paraId="3B0F44B4" w14:textId="77777777" w:rsidR="00094034" w:rsidRDefault="00000000" w:rsidP="00742CC3">
            <w:pPr>
              <w:pStyle w:val="ac"/>
              <w:rPr>
                <w:rFonts w:hint="eastAsia"/>
              </w:rPr>
            </w:pPr>
            <w:r>
              <w:rPr>
                <w:rFonts w:hint="eastAsia"/>
              </w:rPr>
              <w:t>10″01</w:t>
            </w:r>
          </w:p>
        </w:tc>
        <w:tc>
          <w:tcPr>
            <w:tcW w:w="3311" w:type="dxa"/>
            <w:vMerge w:val="restart"/>
            <w:vAlign w:val="center"/>
          </w:tcPr>
          <w:p w14:paraId="53CB6E6D" w14:textId="77777777" w:rsidR="00094034" w:rsidRDefault="00000000" w:rsidP="00742CC3">
            <w:pPr>
              <w:pStyle w:val="ac"/>
              <w:rPr>
                <w:rFonts w:hint="eastAsia"/>
              </w:rPr>
            </w:pPr>
            <w:r>
              <w:rPr>
                <w:rFonts w:hint="eastAsia"/>
              </w:rPr>
              <w:t>9″29</w:t>
            </w:r>
          </w:p>
        </w:tc>
      </w:tr>
      <w:tr w:rsidR="00094034" w14:paraId="5A65B9E1" w14:textId="77777777">
        <w:trPr>
          <w:trHeight w:val="178"/>
        </w:trPr>
        <w:tc>
          <w:tcPr>
            <w:tcW w:w="1658" w:type="dxa"/>
            <w:vMerge/>
            <w:vAlign w:val="center"/>
          </w:tcPr>
          <w:p w14:paraId="5A725F63" w14:textId="77777777" w:rsidR="00094034" w:rsidRDefault="00094034" w:rsidP="00742CC3">
            <w:pPr>
              <w:pStyle w:val="ac"/>
              <w:rPr>
                <w:rFonts w:hint="eastAsia"/>
              </w:rPr>
            </w:pPr>
          </w:p>
        </w:tc>
        <w:tc>
          <w:tcPr>
            <w:tcW w:w="1658" w:type="dxa"/>
            <w:vAlign w:val="center"/>
          </w:tcPr>
          <w:p w14:paraId="70C244A2" w14:textId="77777777" w:rsidR="00094034" w:rsidRDefault="00000000" w:rsidP="00742CC3">
            <w:pPr>
              <w:pStyle w:val="ac"/>
              <w:rPr>
                <w:rFonts w:hint="eastAsia"/>
              </w:rPr>
            </w:pPr>
            <w:r>
              <w:rPr>
                <w:rFonts w:hint="eastAsia"/>
              </w:rPr>
              <w:t>2</w:t>
            </w:r>
          </w:p>
        </w:tc>
        <w:tc>
          <w:tcPr>
            <w:tcW w:w="1669" w:type="dxa"/>
            <w:vAlign w:val="center"/>
          </w:tcPr>
          <w:p w14:paraId="67CFFBBA" w14:textId="77777777" w:rsidR="00094034" w:rsidRDefault="00000000" w:rsidP="00742CC3">
            <w:pPr>
              <w:pStyle w:val="ac"/>
              <w:rPr>
                <w:rFonts w:hint="eastAsia"/>
              </w:rPr>
            </w:pPr>
            <w:r>
              <w:rPr>
                <w:rFonts w:hint="eastAsia"/>
              </w:rPr>
              <w:t>9″40</w:t>
            </w:r>
          </w:p>
        </w:tc>
        <w:tc>
          <w:tcPr>
            <w:tcW w:w="3311" w:type="dxa"/>
            <w:vMerge/>
            <w:vAlign w:val="center"/>
          </w:tcPr>
          <w:p w14:paraId="30F8F898" w14:textId="77777777" w:rsidR="00094034" w:rsidRDefault="00094034" w:rsidP="00742CC3">
            <w:pPr>
              <w:pStyle w:val="ac"/>
              <w:rPr>
                <w:rFonts w:hint="eastAsia"/>
              </w:rPr>
            </w:pPr>
          </w:p>
        </w:tc>
      </w:tr>
      <w:tr w:rsidR="00094034" w14:paraId="75062C02" w14:textId="77777777">
        <w:trPr>
          <w:trHeight w:val="130"/>
        </w:trPr>
        <w:tc>
          <w:tcPr>
            <w:tcW w:w="1658" w:type="dxa"/>
            <w:vMerge/>
            <w:vAlign w:val="center"/>
          </w:tcPr>
          <w:p w14:paraId="0B98E4B4" w14:textId="77777777" w:rsidR="00094034" w:rsidRDefault="00094034" w:rsidP="00742CC3">
            <w:pPr>
              <w:pStyle w:val="ac"/>
              <w:rPr>
                <w:rFonts w:hint="eastAsia"/>
              </w:rPr>
            </w:pPr>
          </w:p>
        </w:tc>
        <w:tc>
          <w:tcPr>
            <w:tcW w:w="1658" w:type="dxa"/>
            <w:vAlign w:val="center"/>
          </w:tcPr>
          <w:p w14:paraId="038A7974" w14:textId="77777777" w:rsidR="00094034" w:rsidRDefault="00000000" w:rsidP="00742CC3">
            <w:pPr>
              <w:pStyle w:val="ac"/>
              <w:rPr>
                <w:rFonts w:hint="eastAsia"/>
              </w:rPr>
            </w:pPr>
            <w:r>
              <w:rPr>
                <w:rFonts w:hint="eastAsia"/>
              </w:rPr>
              <w:t>3</w:t>
            </w:r>
          </w:p>
        </w:tc>
        <w:tc>
          <w:tcPr>
            <w:tcW w:w="1669" w:type="dxa"/>
            <w:vAlign w:val="center"/>
          </w:tcPr>
          <w:p w14:paraId="7262031F" w14:textId="77777777" w:rsidR="00094034" w:rsidRDefault="00000000" w:rsidP="00742CC3">
            <w:pPr>
              <w:pStyle w:val="ac"/>
              <w:rPr>
                <w:rFonts w:hint="eastAsia"/>
              </w:rPr>
            </w:pPr>
            <w:r>
              <w:rPr>
                <w:rFonts w:hint="eastAsia"/>
              </w:rPr>
              <w:t>8″45</w:t>
            </w:r>
          </w:p>
        </w:tc>
        <w:tc>
          <w:tcPr>
            <w:tcW w:w="3311" w:type="dxa"/>
            <w:vMerge/>
            <w:vAlign w:val="center"/>
          </w:tcPr>
          <w:p w14:paraId="351EAE01" w14:textId="77777777" w:rsidR="00094034" w:rsidRDefault="00094034" w:rsidP="00742CC3">
            <w:pPr>
              <w:pStyle w:val="ac"/>
              <w:rPr>
                <w:rFonts w:hint="eastAsia"/>
              </w:rPr>
            </w:pPr>
          </w:p>
        </w:tc>
      </w:tr>
      <w:tr w:rsidR="00094034" w14:paraId="5F876846" w14:textId="77777777">
        <w:trPr>
          <w:trHeight w:val="193"/>
        </w:trPr>
        <w:tc>
          <w:tcPr>
            <w:tcW w:w="1658" w:type="dxa"/>
            <w:vMerge w:val="restart"/>
            <w:vAlign w:val="center"/>
          </w:tcPr>
          <w:p w14:paraId="08D34C28" w14:textId="77777777" w:rsidR="00094034" w:rsidRDefault="00000000" w:rsidP="00742CC3">
            <w:pPr>
              <w:pStyle w:val="ac"/>
              <w:rPr>
                <w:rFonts w:hint="eastAsia"/>
              </w:rPr>
            </w:pPr>
            <w:r>
              <w:rPr>
                <w:rFonts w:hint="eastAsia"/>
              </w:rPr>
              <w:t>2</w:t>
            </w:r>
          </w:p>
        </w:tc>
        <w:tc>
          <w:tcPr>
            <w:tcW w:w="1658" w:type="dxa"/>
            <w:vAlign w:val="center"/>
          </w:tcPr>
          <w:p w14:paraId="2D1D3EB9" w14:textId="77777777" w:rsidR="00094034" w:rsidRDefault="00000000" w:rsidP="00742CC3">
            <w:pPr>
              <w:pStyle w:val="ac"/>
              <w:rPr>
                <w:rFonts w:hint="eastAsia"/>
              </w:rPr>
            </w:pPr>
            <w:r>
              <w:rPr>
                <w:rFonts w:hint="eastAsia"/>
              </w:rPr>
              <w:t>1</w:t>
            </w:r>
          </w:p>
        </w:tc>
        <w:tc>
          <w:tcPr>
            <w:tcW w:w="1669" w:type="dxa"/>
            <w:vAlign w:val="center"/>
          </w:tcPr>
          <w:p w14:paraId="55FC0EC8" w14:textId="77777777" w:rsidR="00094034" w:rsidRDefault="00000000" w:rsidP="00742CC3">
            <w:pPr>
              <w:pStyle w:val="ac"/>
              <w:rPr>
                <w:rFonts w:hint="eastAsia"/>
              </w:rPr>
            </w:pPr>
            <w:r>
              <w:rPr>
                <w:rFonts w:hint="eastAsia"/>
              </w:rPr>
              <w:t>10″09</w:t>
            </w:r>
          </w:p>
        </w:tc>
        <w:tc>
          <w:tcPr>
            <w:tcW w:w="3311" w:type="dxa"/>
            <w:vMerge w:val="restart"/>
            <w:vAlign w:val="center"/>
          </w:tcPr>
          <w:p w14:paraId="41CFE4C0" w14:textId="77777777" w:rsidR="00094034" w:rsidRDefault="00000000" w:rsidP="00742CC3">
            <w:pPr>
              <w:pStyle w:val="ac"/>
              <w:rPr>
                <w:rFonts w:hint="eastAsia"/>
              </w:rPr>
            </w:pPr>
            <w:r>
              <w:rPr>
                <w:rFonts w:hint="eastAsia"/>
              </w:rPr>
              <w:t>26″94</w:t>
            </w:r>
          </w:p>
        </w:tc>
      </w:tr>
      <w:tr w:rsidR="00094034" w14:paraId="79F844DE" w14:textId="77777777">
        <w:trPr>
          <w:trHeight w:val="193"/>
        </w:trPr>
        <w:tc>
          <w:tcPr>
            <w:tcW w:w="1658" w:type="dxa"/>
            <w:vMerge/>
            <w:vAlign w:val="center"/>
          </w:tcPr>
          <w:p w14:paraId="68B82D0E" w14:textId="77777777" w:rsidR="00094034" w:rsidRDefault="00094034" w:rsidP="00742CC3">
            <w:pPr>
              <w:pStyle w:val="ac"/>
              <w:rPr>
                <w:rFonts w:hint="eastAsia"/>
              </w:rPr>
            </w:pPr>
          </w:p>
        </w:tc>
        <w:tc>
          <w:tcPr>
            <w:tcW w:w="1658" w:type="dxa"/>
            <w:vAlign w:val="center"/>
          </w:tcPr>
          <w:p w14:paraId="7CA553F0" w14:textId="77777777" w:rsidR="00094034" w:rsidRDefault="00000000" w:rsidP="00742CC3">
            <w:pPr>
              <w:pStyle w:val="ac"/>
              <w:rPr>
                <w:rFonts w:hint="eastAsia"/>
              </w:rPr>
            </w:pPr>
            <w:r>
              <w:rPr>
                <w:rFonts w:hint="eastAsia"/>
              </w:rPr>
              <w:t>2</w:t>
            </w:r>
          </w:p>
        </w:tc>
        <w:tc>
          <w:tcPr>
            <w:tcW w:w="1669" w:type="dxa"/>
            <w:vAlign w:val="center"/>
          </w:tcPr>
          <w:p w14:paraId="6D9226EE" w14:textId="77777777" w:rsidR="00094034" w:rsidRDefault="00000000" w:rsidP="00742CC3">
            <w:pPr>
              <w:pStyle w:val="ac"/>
              <w:rPr>
                <w:rFonts w:hint="eastAsia"/>
              </w:rPr>
            </w:pPr>
            <w:r>
              <w:rPr>
                <w:rFonts w:hint="eastAsia"/>
              </w:rPr>
              <w:t>59″68</w:t>
            </w:r>
          </w:p>
        </w:tc>
        <w:tc>
          <w:tcPr>
            <w:tcW w:w="3311" w:type="dxa"/>
            <w:vMerge/>
            <w:vAlign w:val="center"/>
          </w:tcPr>
          <w:p w14:paraId="1AEC6556" w14:textId="77777777" w:rsidR="00094034" w:rsidRDefault="00094034" w:rsidP="00742CC3">
            <w:pPr>
              <w:pStyle w:val="ac"/>
              <w:rPr>
                <w:rFonts w:hint="eastAsia"/>
              </w:rPr>
            </w:pPr>
          </w:p>
        </w:tc>
      </w:tr>
      <w:tr w:rsidR="00094034" w14:paraId="54C38BFA" w14:textId="77777777">
        <w:trPr>
          <w:trHeight w:val="193"/>
        </w:trPr>
        <w:tc>
          <w:tcPr>
            <w:tcW w:w="1658" w:type="dxa"/>
            <w:vMerge/>
            <w:vAlign w:val="center"/>
          </w:tcPr>
          <w:p w14:paraId="4476F46E" w14:textId="77777777" w:rsidR="00094034" w:rsidRDefault="00094034" w:rsidP="00742CC3">
            <w:pPr>
              <w:pStyle w:val="ac"/>
              <w:rPr>
                <w:rFonts w:hint="eastAsia"/>
              </w:rPr>
            </w:pPr>
          </w:p>
        </w:tc>
        <w:tc>
          <w:tcPr>
            <w:tcW w:w="1658" w:type="dxa"/>
            <w:vAlign w:val="center"/>
          </w:tcPr>
          <w:p w14:paraId="228BFC80" w14:textId="77777777" w:rsidR="00094034" w:rsidRDefault="00000000" w:rsidP="00742CC3">
            <w:pPr>
              <w:pStyle w:val="ac"/>
              <w:rPr>
                <w:rFonts w:hint="eastAsia"/>
              </w:rPr>
            </w:pPr>
            <w:r>
              <w:rPr>
                <w:rFonts w:hint="eastAsia"/>
              </w:rPr>
              <w:t>3</w:t>
            </w:r>
          </w:p>
        </w:tc>
        <w:tc>
          <w:tcPr>
            <w:tcW w:w="1669" w:type="dxa"/>
            <w:vAlign w:val="center"/>
          </w:tcPr>
          <w:p w14:paraId="6F627A7C" w14:textId="77777777" w:rsidR="00094034" w:rsidRDefault="00000000" w:rsidP="00742CC3">
            <w:pPr>
              <w:pStyle w:val="ac"/>
              <w:rPr>
                <w:rFonts w:hint="eastAsia"/>
              </w:rPr>
            </w:pPr>
            <w:r>
              <w:rPr>
                <w:rFonts w:hint="eastAsia"/>
              </w:rPr>
              <w:t>11″06</w:t>
            </w:r>
          </w:p>
        </w:tc>
        <w:tc>
          <w:tcPr>
            <w:tcW w:w="3311" w:type="dxa"/>
            <w:vMerge/>
            <w:vAlign w:val="center"/>
          </w:tcPr>
          <w:p w14:paraId="3001EBE5" w14:textId="77777777" w:rsidR="00094034" w:rsidRDefault="00094034" w:rsidP="00742CC3">
            <w:pPr>
              <w:pStyle w:val="ac"/>
              <w:rPr>
                <w:rFonts w:hint="eastAsia"/>
              </w:rPr>
            </w:pPr>
          </w:p>
        </w:tc>
      </w:tr>
      <w:tr w:rsidR="00094034" w14:paraId="11D9D3DF" w14:textId="77777777">
        <w:trPr>
          <w:trHeight w:val="193"/>
        </w:trPr>
        <w:tc>
          <w:tcPr>
            <w:tcW w:w="1658" w:type="dxa"/>
            <w:vMerge w:val="restart"/>
            <w:vAlign w:val="center"/>
          </w:tcPr>
          <w:p w14:paraId="6CDDE337" w14:textId="77777777" w:rsidR="00094034" w:rsidRDefault="00000000" w:rsidP="00742CC3">
            <w:pPr>
              <w:pStyle w:val="ac"/>
              <w:rPr>
                <w:rFonts w:hint="eastAsia"/>
              </w:rPr>
            </w:pPr>
            <w:r>
              <w:rPr>
                <w:rFonts w:hint="eastAsia"/>
              </w:rPr>
              <w:t>3</w:t>
            </w:r>
          </w:p>
        </w:tc>
        <w:tc>
          <w:tcPr>
            <w:tcW w:w="1658" w:type="dxa"/>
            <w:vAlign w:val="center"/>
          </w:tcPr>
          <w:p w14:paraId="17629651" w14:textId="77777777" w:rsidR="00094034" w:rsidRDefault="00000000" w:rsidP="00742CC3">
            <w:pPr>
              <w:pStyle w:val="ac"/>
              <w:rPr>
                <w:rFonts w:hint="eastAsia"/>
              </w:rPr>
            </w:pPr>
            <w:r>
              <w:rPr>
                <w:rFonts w:hint="eastAsia"/>
              </w:rPr>
              <w:t>1</w:t>
            </w:r>
          </w:p>
        </w:tc>
        <w:tc>
          <w:tcPr>
            <w:tcW w:w="1669" w:type="dxa"/>
            <w:vAlign w:val="center"/>
          </w:tcPr>
          <w:p w14:paraId="3C2D531B" w14:textId="77777777" w:rsidR="00094034" w:rsidRDefault="00000000" w:rsidP="00742CC3">
            <w:pPr>
              <w:pStyle w:val="ac"/>
              <w:rPr>
                <w:rFonts w:hint="eastAsia"/>
              </w:rPr>
            </w:pPr>
            <w:r>
              <w:rPr>
                <w:rFonts w:hint="eastAsia"/>
              </w:rPr>
              <w:t>21″13</w:t>
            </w:r>
          </w:p>
        </w:tc>
        <w:tc>
          <w:tcPr>
            <w:tcW w:w="3311" w:type="dxa"/>
            <w:vMerge w:val="restart"/>
            <w:vAlign w:val="center"/>
          </w:tcPr>
          <w:p w14:paraId="31D9F6B2" w14:textId="77777777" w:rsidR="00094034" w:rsidRDefault="00000000" w:rsidP="00742CC3">
            <w:pPr>
              <w:pStyle w:val="ac"/>
              <w:rPr>
                <w:rFonts w:hint="eastAsia"/>
              </w:rPr>
            </w:pPr>
            <w:r>
              <w:rPr>
                <w:rFonts w:hint="eastAsia"/>
              </w:rPr>
              <w:t>21″83</w:t>
            </w:r>
          </w:p>
        </w:tc>
      </w:tr>
      <w:tr w:rsidR="00094034" w14:paraId="1E29A13E" w14:textId="77777777">
        <w:trPr>
          <w:trHeight w:val="193"/>
        </w:trPr>
        <w:tc>
          <w:tcPr>
            <w:tcW w:w="1658" w:type="dxa"/>
            <w:vMerge/>
            <w:vAlign w:val="center"/>
          </w:tcPr>
          <w:p w14:paraId="6CA1D73E" w14:textId="77777777" w:rsidR="00094034" w:rsidRDefault="00094034" w:rsidP="00742CC3">
            <w:pPr>
              <w:pStyle w:val="ac"/>
              <w:rPr>
                <w:rFonts w:hint="eastAsia"/>
              </w:rPr>
            </w:pPr>
          </w:p>
        </w:tc>
        <w:tc>
          <w:tcPr>
            <w:tcW w:w="1658" w:type="dxa"/>
            <w:vAlign w:val="center"/>
          </w:tcPr>
          <w:p w14:paraId="17CB5F6F" w14:textId="77777777" w:rsidR="00094034" w:rsidRDefault="00000000" w:rsidP="00742CC3">
            <w:pPr>
              <w:pStyle w:val="ac"/>
              <w:rPr>
                <w:rFonts w:hint="eastAsia"/>
              </w:rPr>
            </w:pPr>
            <w:r>
              <w:rPr>
                <w:rFonts w:hint="eastAsia"/>
              </w:rPr>
              <w:t>2</w:t>
            </w:r>
          </w:p>
        </w:tc>
        <w:tc>
          <w:tcPr>
            <w:tcW w:w="1669" w:type="dxa"/>
            <w:vAlign w:val="center"/>
          </w:tcPr>
          <w:p w14:paraId="7018ED2E" w14:textId="77777777" w:rsidR="00094034" w:rsidRDefault="00000000" w:rsidP="00742CC3">
            <w:pPr>
              <w:pStyle w:val="ac"/>
              <w:rPr>
                <w:rFonts w:hint="eastAsia"/>
              </w:rPr>
            </w:pPr>
            <w:r>
              <w:rPr>
                <w:rFonts w:hint="eastAsia"/>
              </w:rPr>
              <w:t>24″46</w:t>
            </w:r>
          </w:p>
        </w:tc>
        <w:tc>
          <w:tcPr>
            <w:tcW w:w="3311" w:type="dxa"/>
            <w:vMerge/>
            <w:vAlign w:val="center"/>
          </w:tcPr>
          <w:p w14:paraId="074FDEF9" w14:textId="77777777" w:rsidR="00094034" w:rsidRDefault="00094034" w:rsidP="00742CC3">
            <w:pPr>
              <w:pStyle w:val="ac"/>
              <w:rPr>
                <w:rFonts w:hint="eastAsia"/>
              </w:rPr>
            </w:pPr>
          </w:p>
        </w:tc>
      </w:tr>
      <w:tr w:rsidR="00094034" w14:paraId="43D57A1F" w14:textId="77777777">
        <w:trPr>
          <w:trHeight w:val="193"/>
        </w:trPr>
        <w:tc>
          <w:tcPr>
            <w:tcW w:w="1658" w:type="dxa"/>
            <w:vMerge/>
            <w:vAlign w:val="center"/>
          </w:tcPr>
          <w:p w14:paraId="3E1B9680" w14:textId="77777777" w:rsidR="00094034" w:rsidRDefault="00094034" w:rsidP="00742CC3">
            <w:pPr>
              <w:pStyle w:val="ac"/>
              <w:rPr>
                <w:rFonts w:hint="eastAsia"/>
              </w:rPr>
            </w:pPr>
          </w:p>
        </w:tc>
        <w:tc>
          <w:tcPr>
            <w:tcW w:w="1658" w:type="dxa"/>
            <w:vAlign w:val="center"/>
          </w:tcPr>
          <w:p w14:paraId="43697136" w14:textId="77777777" w:rsidR="00094034" w:rsidRDefault="00000000" w:rsidP="00742CC3">
            <w:pPr>
              <w:pStyle w:val="ac"/>
              <w:rPr>
                <w:rFonts w:hint="eastAsia"/>
              </w:rPr>
            </w:pPr>
            <w:r>
              <w:rPr>
                <w:rFonts w:hint="eastAsia"/>
              </w:rPr>
              <w:t>3</w:t>
            </w:r>
          </w:p>
        </w:tc>
        <w:tc>
          <w:tcPr>
            <w:tcW w:w="1669" w:type="dxa"/>
            <w:vAlign w:val="center"/>
          </w:tcPr>
          <w:p w14:paraId="3F28EDBF" w14:textId="77777777" w:rsidR="00094034" w:rsidRDefault="00000000" w:rsidP="00742CC3">
            <w:pPr>
              <w:pStyle w:val="ac"/>
              <w:rPr>
                <w:rFonts w:hint="eastAsia"/>
              </w:rPr>
            </w:pPr>
            <w:r>
              <w:rPr>
                <w:rFonts w:hint="eastAsia"/>
              </w:rPr>
              <w:t>19″89</w:t>
            </w:r>
          </w:p>
        </w:tc>
        <w:tc>
          <w:tcPr>
            <w:tcW w:w="3311" w:type="dxa"/>
            <w:vMerge/>
            <w:vAlign w:val="center"/>
          </w:tcPr>
          <w:p w14:paraId="20359D05" w14:textId="77777777" w:rsidR="00094034" w:rsidRDefault="00094034" w:rsidP="00742CC3">
            <w:pPr>
              <w:pStyle w:val="ac"/>
              <w:rPr>
                <w:rFonts w:hint="eastAsia"/>
              </w:rPr>
            </w:pPr>
          </w:p>
        </w:tc>
      </w:tr>
      <w:tr w:rsidR="00094034" w14:paraId="43AB8627" w14:textId="77777777">
        <w:trPr>
          <w:trHeight w:val="193"/>
        </w:trPr>
        <w:tc>
          <w:tcPr>
            <w:tcW w:w="1658" w:type="dxa"/>
            <w:vMerge w:val="restart"/>
            <w:vAlign w:val="center"/>
          </w:tcPr>
          <w:p w14:paraId="6FBABEAA" w14:textId="77777777" w:rsidR="00094034" w:rsidRDefault="00000000" w:rsidP="00742CC3">
            <w:pPr>
              <w:pStyle w:val="ac"/>
              <w:rPr>
                <w:rFonts w:hint="eastAsia"/>
              </w:rPr>
            </w:pPr>
            <w:r>
              <w:rPr>
                <w:rFonts w:hint="eastAsia"/>
              </w:rPr>
              <w:t>4</w:t>
            </w:r>
          </w:p>
        </w:tc>
        <w:tc>
          <w:tcPr>
            <w:tcW w:w="1658" w:type="dxa"/>
            <w:vAlign w:val="center"/>
          </w:tcPr>
          <w:p w14:paraId="6A3183EE" w14:textId="77777777" w:rsidR="00094034" w:rsidRDefault="00000000" w:rsidP="00742CC3">
            <w:pPr>
              <w:pStyle w:val="ac"/>
              <w:rPr>
                <w:rFonts w:hint="eastAsia"/>
              </w:rPr>
            </w:pPr>
            <w:r>
              <w:rPr>
                <w:rFonts w:hint="eastAsia"/>
              </w:rPr>
              <w:t>1</w:t>
            </w:r>
          </w:p>
        </w:tc>
        <w:tc>
          <w:tcPr>
            <w:tcW w:w="1669" w:type="dxa"/>
            <w:vAlign w:val="center"/>
          </w:tcPr>
          <w:p w14:paraId="089F2B30" w14:textId="77777777" w:rsidR="00094034" w:rsidRDefault="00000000" w:rsidP="00742CC3">
            <w:pPr>
              <w:pStyle w:val="ac"/>
              <w:rPr>
                <w:rFonts w:hint="eastAsia"/>
              </w:rPr>
            </w:pPr>
            <w:r>
              <w:rPr>
                <w:rFonts w:hint="eastAsia"/>
              </w:rPr>
              <w:t>30″39</w:t>
            </w:r>
          </w:p>
        </w:tc>
        <w:tc>
          <w:tcPr>
            <w:tcW w:w="3311" w:type="dxa"/>
            <w:vMerge w:val="restart"/>
            <w:vAlign w:val="center"/>
          </w:tcPr>
          <w:p w14:paraId="5D488F3A" w14:textId="77777777" w:rsidR="00094034" w:rsidRDefault="00000000" w:rsidP="00742CC3">
            <w:pPr>
              <w:pStyle w:val="ac"/>
              <w:rPr>
                <w:rFonts w:hint="eastAsia"/>
              </w:rPr>
            </w:pPr>
            <w:r>
              <w:rPr>
                <w:rFonts w:hint="eastAsia"/>
              </w:rPr>
              <w:t>29″91</w:t>
            </w:r>
          </w:p>
        </w:tc>
      </w:tr>
      <w:tr w:rsidR="00094034" w14:paraId="4CEB2129" w14:textId="77777777">
        <w:trPr>
          <w:trHeight w:val="193"/>
        </w:trPr>
        <w:tc>
          <w:tcPr>
            <w:tcW w:w="1658" w:type="dxa"/>
            <w:vMerge/>
            <w:vAlign w:val="center"/>
          </w:tcPr>
          <w:p w14:paraId="26465718" w14:textId="77777777" w:rsidR="00094034" w:rsidRDefault="00094034" w:rsidP="00742CC3">
            <w:pPr>
              <w:pStyle w:val="ac"/>
              <w:rPr>
                <w:rFonts w:hint="eastAsia"/>
              </w:rPr>
            </w:pPr>
          </w:p>
        </w:tc>
        <w:tc>
          <w:tcPr>
            <w:tcW w:w="1658" w:type="dxa"/>
            <w:vAlign w:val="center"/>
          </w:tcPr>
          <w:p w14:paraId="7387EDC9" w14:textId="77777777" w:rsidR="00094034" w:rsidRDefault="00000000" w:rsidP="00742CC3">
            <w:pPr>
              <w:pStyle w:val="ac"/>
              <w:rPr>
                <w:rFonts w:hint="eastAsia"/>
              </w:rPr>
            </w:pPr>
            <w:r>
              <w:rPr>
                <w:rFonts w:hint="eastAsia"/>
              </w:rPr>
              <w:t>2</w:t>
            </w:r>
          </w:p>
        </w:tc>
        <w:tc>
          <w:tcPr>
            <w:tcW w:w="1669" w:type="dxa"/>
            <w:vAlign w:val="center"/>
          </w:tcPr>
          <w:p w14:paraId="40BA2F75" w14:textId="77777777" w:rsidR="00094034" w:rsidRDefault="00000000" w:rsidP="00742CC3">
            <w:pPr>
              <w:pStyle w:val="ac"/>
              <w:rPr>
                <w:rFonts w:hint="eastAsia"/>
              </w:rPr>
            </w:pPr>
            <w:r>
              <w:rPr>
                <w:rFonts w:hint="eastAsia"/>
              </w:rPr>
              <w:t>29″68</w:t>
            </w:r>
          </w:p>
        </w:tc>
        <w:tc>
          <w:tcPr>
            <w:tcW w:w="3311" w:type="dxa"/>
            <w:vMerge/>
            <w:vAlign w:val="center"/>
          </w:tcPr>
          <w:p w14:paraId="41BB63A9" w14:textId="77777777" w:rsidR="00094034" w:rsidRDefault="00094034" w:rsidP="00742CC3">
            <w:pPr>
              <w:pStyle w:val="ac"/>
              <w:rPr>
                <w:rFonts w:hint="eastAsia"/>
              </w:rPr>
            </w:pPr>
          </w:p>
        </w:tc>
      </w:tr>
      <w:tr w:rsidR="00094034" w14:paraId="060FD964" w14:textId="77777777">
        <w:trPr>
          <w:trHeight w:val="193"/>
        </w:trPr>
        <w:tc>
          <w:tcPr>
            <w:tcW w:w="1658" w:type="dxa"/>
            <w:vMerge/>
            <w:vAlign w:val="center"/>
          </w:tcPr>
          <w:p w14:paraId="736408C5" w14:textId="77777777" w:rsidR="00094034" w:rsidRDefault="00094034" w:rsidP="00742CC3">
            <w:pPr>
              <w:pStyle w:val="ac"/>
              <w:rPr>
                <w:rFonts w:hint="eastAsia"/>
              </w:rPr>
            </w:pPr>
          </w:p>
        </w:tc>
        <w:tc>
          <w:tcPr>
            <w:tcW w:w="1658" w:type="dxa"/>
            <w:vAlign w:val="center"/>
          </w:tcPr>
          <w:p w14:paraId="5FB15677" w14:textId="77777777" w:rsidR="00094034" w:rsidRDefault="00000000" w:rsidP="00742CC3">
            <w:pPr>
              <w:pStyle w:val="ac"/>
              <w:rPr>
                <w:rFonts w:hint="eastAsia"/>
              </w:rPr>
            </w:pPr>
            <w:r>
              <w:rPr>
                <w:rFonts w:hint="eastAsia"/>
              </w:rPr>
              <w:t>3</w:t>
            </w:r>
          </w:p>
        </w:tc>
        <w:tc>
          <w:tcPr>
            <w:tcW w:w="1669" w:type="dxa"/>
            <w:vAlign w:val="center"/>
          </w:tcPr>
          <w:p w14:paraId="314EF876" w14:textId="77777777" w:rsidR="00094034" w:rsidRDefault="00000000" w:rsidP="00742CC3">
            <w:pPr>
              <w:pStyle w:val="ac"/>
              <w:rPr>
                <w:rFonts w:hint="eastAsia"/>
              </w:rPr>
            </w:pPr>
            <w:r>
              <w:rPr>
                <w:rFonts w:hint="eastAsia"/>
              </w:rPr>
              <w:t>29″65</w:t>
            </w:r>
          </w:p>
        </w:tc>
        <w:tc>
          <w:tcPr>
            <w:tcW w:w="3311" w:type="dxa"/>
            <w:vMerge/>
            <w:vAlign w:val="center"/>
          </w:tcPr>
          <w:p w14:paraId="3D9E898E" w14:textId="77777777" w:rsidR="00094034" w:rsidRDefault="00094034" w:rsidP="00742CC3">
            <w:pPr>
              <w:pStyle w:val="ac"/>
              <w:rPr>
                <w:rFonts w:hint="eastAsia"/>
              </w:rPr>
            </w:pPr>
          </w:p>
        </w:tc>
      </w:tr>
      <w:tr w:rsidR="00094034" w14:paraId="3CE699F0" w14:textId="77777777">
        <w:trPr>
          <w:trHeight w:val="193"/>
        </w:trPr>
        <w:tc>
          <w:tcPr>
            <w:tcW w:w="1658" w:type="dxa"/>
            <w:vMerge w:val="restart"/>
            <w:vAlign w:val="center"/>
          </w:tcPr>
          <w:p w14:paraId="29138BC6" w14:textId="77777777" w:rsidR="00094034" w:rsidRDefault="00000000" w:rsidP="00742CC3">
            <w:pPr>
              <w:pStyle w:val="ac"/>
              <w:rPr>
                <w:rFonts w:hint="eastAsia"/>
              </w:rPr>
            </w:pPr>
            <w:r>
              <w:rPr>
                <w:rFonts w:hint="eastAsia"/>
              </w:rPr>
              <w:t>5</w:t>
            </w:r>
          </w:p>
        </w:tc>
        <w:tc>
          <w:tcPr>
            <w:tcW w:w="1658" w:type="dxa"/>
            <w:vAlign w:val="center"/>
          </w:tcPr>
          <w:p w14:paraId="6DE5F87A" w14:textId="77777777" w:rsidR="00094034" w:rsidRDefault="00000000" w:rsidP="00742CC3">
            <w:pPr>
              <w:pStyle w:val="ac"/>
              <w:rPr>
                <w:rFonts w:hint="eastAsia"/>
              </w:rPr>
            </w:pPr>
            <w:r>
              <w:rPr>
                <w:rFonts w:hint="eastAsia"/>
              </w:rPr>
              <w:t>1</w:t>
            </w:r>
          </w:p>
        </w:tc>
        <w:tc>
          <w:tcPr>
            <w:tcW w:w="1669" w:type="dxa"/>
            <w:vAlign w:val="center"/>
          </w:tcPr>
          <w:p w14:paraId="2A7A6073" w14:textId="77777777" w:rsidR="00094034" w:rsidRDefault="00000000" w:rsidP="00742CC3">
            <w:pPr>
              <w:pStyle w:val="ac"/>
              <w:rPr>
                <w:rFonts w:hint="eastAsia"/>
              </w:rPr>
            </w:pPr>
            <w:r>
              <w:rPr>
                <w:rFonts w:hint="eastAsia"/>
              </w:rPr>
              <w:t>8″36</w:t>
            </w:r>
          </w:p>
        </w:tc>
        <w:tc>
          <w:tcPr>
            <w:tcW w:w="3311" w:type="dxa"/>
            <w:vMerge w:val="restart"/>
            <w:vAlign w:val="center"/>
          </w:tcPr>
          <w:p w14:paraId="33D2E6A2" w14:textId="77777777" w:rsidR="00094034" w:rsidRDefault="00000000" w:rsidP="00742CC3">
            <w:pPr>
              <w:pStyle w:val="ac"/>
              <w:rPr>
                <w:rFonts w:hint="eastAsia"/>
              </w:rPr>
            </w:pPr>
            <w:r>
              <w:rPr>
                <w:rFonts w:hint="eastAsia"/>
              </w:rPr>
              <w:t>10″25</w:t>
            </w:r>
          </w:p>
        </w:tc>
      </w:tr>
      <w:tr w:rsidR="00094034" w14:paraId="7DE025BA" w14:textId="77777777">
        <w:trPr>
          <w:trHeight w:val="322"/>
        </w:trPr>
        <w:tc>
          <w:tcPr>
            <w:tcW w:w="1658" w:type="dxa"/>
            <w:vMerge/>
          </w:tcPr>
          <w:p w14:paraId="75AC51CB" w14:textId="77777777" w:rsidR="00094034" w:rsidRDefault="00094034" w:rsidP="00742CC3">
            <w:pPr>
              <w:pStyle w:val="ac"/>
              <w:rPr>
                <w:rFonts w:hint="eastAsia"/>
              </w:rPr>
            </w:pPr>
          </w:p>
        </w:tc>
        <w:tc>
          <w:tcPr>
            <w:tcW w:w="1658" w:type="dxa"/>
          </w:tcPr>
          <w:p w14:paraId="6ECACF21" w14:textId="77777777" w:rsidR="00094034" w:rsidRDefault="00000000" w:rsidP="00742CC3">
            <w:pPr>
              <w:pStyle w:val="ac"/>
              <w:rPr>
                <w:rFonts w:hint="eastAsia"/>
              </w:rPr>
            </w:pPr>
            <w:r>
              <w:rPr>
                <w:rFonts w:hint="eastAsia"/>
              </w:rPr>
              <w:t>2</w:t>
            </w:r>
          </w:p>
        </w:tc>
        <w:tc>
          <w:tcPr>
            <w:tcW w:w="1669" w:type="dxa"/>
          </w:tcPr>
          <w:p w14:paraId="757924E3" w14:textId="77777777" w:rsidR="00094034" w:rsidRDefault="00000000" w:rsidP="00742CC3">
            <w:pPr>
              <w:pStyle w:val="ac"/>
              <w:rPr>
                <w:rFonts w:hint="eastAsia"/>
              </w:rPr>
            </w:pPr>
            <w:r>
              <w:rPr>
                <w:rFonts w:hint="eastAsia"/>
              </w:rPr>
              <w:t>13″10</w:t>
            </w:r>
          </w:p>
        </w:tc>
        <w:tc>
          <w:tcPr>
            <w:tcW w:w="3311" w:type="dxa"/>
            <w:vMerge/>
          </w:tcPr>
          <w:p w14:paraId="43891B11" w14:textId="77777777" w:rsidR="00094034" w:rsidRDefault="00094034" w:rsidP="00742CC3">
            <w:pPr>
              <w:pStyle w:val="ac"/>
              <w:rPr>
                <w:rFonts w:hint="eastAsia"/>
              </w:rPr>
            </w:pPr>
          </w:p>
        </w:tc>
      </w:tr>
      <w:tr w:rsidR="00094034" w14:paraId="6EB508F0" w14:textId="77777777">
        <w:trPr>
          <w:trHeight w:val="193"/>
        </w:trPr>
        <w:tc>
          <w:tcPr>
            <w:tcW w:w="1658" w:type="dxa"/>
            <w:vMerge/>
          </w:tcPr>
          <w:p w14:paraId="1B144683" w14:textId="77777777" w:rsidR="00094034" w:rsidRDefault="00094034" w:rsidP="00742CC3">
            <w:pPr>
              <w:pStyle w:val="ac"/>
              <w:rPr>
                <w:rFonts w:hint="eastAsia"/>
              </w:rPr>
            </w:pPr>
          </w:p>
        </w:tc>
        <w:tc>
          <w:tcPr>
            <w:tcW w:w="1658" w:type="dxa"/>
          </w:tcPr>
          <w:p w14:paraId="73E1BF77" w14:textId="77777777" w:rsidR="00094034" w:rsidRDefault="00000000" w:rsidP="00742CC3">
            <w:pPr>
              <w:pStyle w:val="ac"/>
              <w:rPr>
                <w:rFonts w:hint="eastAsia"/>
              </w:rPr>
            </w:pPr>
            <w:r>
              <w:rPr>
                <w:rFonts w:hint="eastAsia"/>
              </w:rPr>
              <w:t>3</w:t>
            </w:r>
          </w:p>
        </w:tc>
        <w:tc>
          <w:tcPr>
            <w:tcW w:w="1669" w:type="dxa"/>
          </w:tcPr>
          <w:p w14:paraId="367B3B0E" w14:textId="77777777" w:rsidR="00094034" w:rsidRDefault="00000000" w:rsidP="00742CC3">
            <w:pPr>
              <w:pStyle w:val="ac"/>
              <w:rPr>
                <w:rFonts w:hint="eastAsia"/>
              </w:rPr>
            </w:pPr>
            <w:r>
              <w:rPr>
                <w:rFonts w:hint="eastAsia"/>
              </w:rPr>
              <w:t>9″30</w:t>
            </w:r>
          </w:p>
        </w:tc>
        <w:tc>
          <w:tcPr>
            <w:tcW w:w="3311" w:type="dxa"/>
            <w:vMerge/>
          </w:tcPr>
          <w:p w14:paraId="3095679F" w14:textId="77777777" w:rsidR="00094034" w:rsidRDefault="00094034" w:rsidP="00742CC3">
            <w:pPr>
              <w:pStyle w:val="ac"/>
              <w:rPr>
                <w:rFonts w:hint="eastAsia"/>
              </w:rPr>
            </w:pPr>
          </w:p>
        </w:tc>
      </w:tr>
    </w:tbl>
    <w:p w14:paraId="3224D8A6"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要求：≤30s</w:t>
      </w:r>
    </w:p>
    <w:p w14:paraId="4A981CB7"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响应时间试验表明，参加测试仪器均不超过1min，符合标准要求。</w:t>
      </w:r>
    </w:p>
    <w:p w14:paraId="48926C1A" w14:textId="77777777" w:rsidR="00094034" w:rsidRDefault="00000000" w:rsidP="00742CC3">
      <w:pPr>
        <w:pStyle w:val="ac"/>
        <w:rPr>
          <w:rFonts w:hint="eastAsia"/>
        </w:rPr>
      </w:pPr>
      <w:r>
        <w:rPr>
          <w:rFonts w:hint="eastAsia"/>
        </w:rPr>
        <w:t>表13重复性</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243"/>
        <w:gridCol w:w="2854"/>
        <w:gridCol w:w="2412"/>
      </w:tblGrid>
      <w:tr w:rsidR="00094034" w14:paraId="257851B0" w14:textId="77777777">
        <w:trPr>
          <w:trHeight w:val="362"/>
          <w:jc w:val="center"/>
        </w:trPr>
        <w:tc>
          <w:tcPr>
            <w:tcW w:w="1105" w:type="pct"/>
            <w:vAlign w:val="center"/>
          </w:tcPr>
          <w:p w14:paraId="3449F032" w14:textId="77777777" w:rsidR="00094034" w:rsidRDefault="00094034" w:rsidP="00742CC3">
            <w:pPr>
              <w:pStyle w:val="ac"/>
              <w:rPr>
                <w:rFonts w:hint="eastAsia"/>
              </w:rPr>
            </w:pPr>
          </w:p>
        </w:tc>
        <w:tc>
          <w:tcPr>
            <w:tcW w:w="744" w:type="pct"/>
            <w:vAlign w:val="center"/>
          </w:tcPr>
          <w:p w14:paraId="13908456" w14:textId="77777777" w:rsidR="00094034" w:rsidRDefault="00000000" w:rsidP="00742CC3">
            <w:pPr>
              <w:pStyle w:val="ac"/>
              <w:rPr>
                <w:rFonts w:hint="eastAsia"/>
              </w:rPr>
            </w:pPr>
            <w:r>
              <w:rPr>
                <w:rFonts w:hint="eastAsia"/>
              </w:rPr>
              <w:t>设备厂商</w:t>
            </w:r>
          </w:p>
        </w:tc>
        <w:tc>
          <w:tcPr>
            <w:tcW w:w="1708" w:type="pct"/>
            <w:vAlign w:val="center"/>
          </w:tcPr>
          <w:p w14:paraId="2A318660" w14:textId="77777777" w:rsidR="00094034" w:rsidRDefault="00000000" w:rsidP="00742CC3">
            <w:pPr>
              <w:pStyle w:val="ac"/>
              <w:rPr>
                <w:rFonts w:hint="eastAsia"/>
              </w:rPr>
            </w:pPr>
            <w:r>
              <w:rPr>
                <w:rFonts w:hint="eastAsia"/>
              </w:rPr>
              <w:t>平均值（mg/m3）</w:t>
            </w:r>
          </w:p>
        </w:tc>
        <w:tc>
          <w:tcPr>
            <w:tcW w:w="1444" w:type="pct"/>
            <w:vAlign w:val="center"/>
          </w:tcPr>
          <w:p w14:paraId="48FCCE04" w14:textId="77777777" w:rsidR="00094034" w:rsidRDefault="00000000" w:rsidP="00742CC3">
            <w:pPr>
              <w:pStyle w:val="ac"/>
              <w:rPr>
                <w:rFonts w:hint="eastAsia"/>
              </w:rPr>
            </w:pPr>
            <w:r>
              <w:rPr>
                <w:rFonts w:hint="eastAsia"/>
              </w:rPr>
              <w:t>重复性（%）</w:t>
            </w:r>
          </w:p>
        </w:tc>
      </w:tr>
      <w:tr w:rsidR="00094034" w14:paraId="6C4228F5" w14:textId="77777777">
        <w:trPr>
          <w:trHeight w:val="292"/>
          <w:jc w:val="center"/>
        </w:trPr>
        <w:tc>
          <w:tcPr>
            <w:tcW w:w="1105" w:type="pct"/>
            <w:vMerge w:val="restart"/>
            <w:vAlign w:val="center"/>
          </w:tcPr>
          <w:p w14:paraId="13E28570" w14:textId="77777777" w:rsidR="00094034" w:rsidRDefault="00000000" w:rsidP="00742CC3">
            <w:pPr>
              <w:pStyle w:val="ac"/>
              <w:rPr>
                <w:rFonts w:hint="eastAsia"/>
              </w:rPr>
            </w:pPr>
            <w:r>
              <w:rPr>
                <w:rFonts w:hint="eastAsia"/>
              </w:rPr>
              <w:t>示值</w:t>
            </w:r>
          </w:p>
        </w:tc>
        <w:tc>
          <w:tcPr>
            <w:tcW w:w="744" w:type="pct"/>
            <w:vAlign w:val="center"/>
          </w:tcPr>
          <w:p w14:paraId="7425CB83" w14:textId="77777777" w:rsidR="00094034" w:rsidRDefault="00000000" w:rsidP="00742CC3">
            <w:pPr>
              <w:pStyle w:val="ac"/>
              <w:rPr>
                <w:rFonts w:hint="eastAsia"/>
              </w:rPr>
            </w:pPr>
            <w:r>
              <w:rPr>
                <w:rFonts w:hint="eastAsia"/>
              </w:rPr>
              <w:t>1</w:t>
            </w:r>
          </w:p>
        </w:tc>
        <w:tc>
          <w:tcPr>
            <w:tcW w:w="1708" w:type="pct"/>
            <w:vAlign w:val="center"/>
          </w:tcPr>
          <w:p w14:paraId="68FD58C6" w14:textId="77777777" w:rsidR="00094034" w:rsidRDefault="00000000" w:rsidP="00742CC3">
            <w:pPr>
              <w:pStyle w:val="ac"/>
              <w:rPr>
                <w:rFonts w:hint="eastAsia"/>
              </w:rPr>
            </w:pPr>
            <w:r>
              <w:rPr>
                <w:rFonts w:hint="eastAsia"/>
              </w:rPr>
              <w:t>4.16</w:t>
            </w:r>
          </w:p>
        </w:tc>
        <w:tc>
          <w:tcPr>
            <w:tcW w:w="1444" w:type="pct"/>
            <w:vAlign w:val="center"/>
          </w:tcPr>
          <w:p w14:paraId="5A438B41" w14:textId="77777777" w:rsidR="00094034" w:rsidRDefault="00000000" w:rsidP="00742CC3">
            <w:pPr>
              <w:pStyle w:val="ac"/>
              <w:rPr>
                <w:rFonts w:hint="eastAsia"/>
              </w:rPr>
            </w:pPr>
            <w:r>
              <w:rPr>
                <w:rFonts w:hint="eastAsia"/>
              </w:rPr>
              <w:t>1.44%</w:t>
            </w:r>
          </w:p>
        </w:tc>
      </w:tr>
      <w:tr w:rsidR="00094034" w14:paraId="33D6CC7D" w14:textId="77777777">
        <w:trPr>
          <w:trHeight w:val="315"/>
          <w:jc w:val="center"/>
        </w:trPr>
        <w:tc>
          <w:tcPr>
            <w:tcW w:w="1105" w:type="pct"/>
            <w:vMerge/>
            <w:vAlign w:val="center"/>
          </w:tcPr>
          <w:p w14:paraId="412A31DF" w14:textId="77777777" w:rsidR="00094034" w:rsidRDefault="00094034" w:rsidP="00742CC3">
            <w:pPr>
              <w:pStyle w:val="ac"/>
              <w:rPr>
                <w:rFonts w:hint="eastAsia"/>
              </w:rPr>
            </w:pPr>
          </w:p>
        </w:tc>
        <w:tc>
          <w:tcPr>
            <w:tcW w:w="744" w:type="pct"/>
            <w:vAlign w:val="center"/>
          </w:tcPr>
          <w:p w14:paraId="0AC7FD06" w14:textId="77777777" w:rsidR="00094034" w:rsidRDefault="00000000" w:rsidP="00742CC3">
            <w:pPr>
              <w:pStyle w:val="ac"/>
              <w:rPr>
                <w:rFonts w:hint="eastAsia"/>
              </w:rPr>
            </w:pPr>
            <w:r>
              <w:rPr>
                <w:rFonts w:hint="eastAsia"/>
              </w:rPr>
              <w:t>2</w:t>
            </w:r>
          </w:p>
        </w:tc>
        <w:tc>
          <w:tcPr>
            <w:tcW w:w="1708" w:type="pct"/>
            <w:vAlign w:val="center"/>
          </w:tcPr>
          <w:p w14:paraId="35428DD2" w14:textId="77777777" w:rsidR="00094034" w:rsidRDefault="00000000" w:rsidP="00742CC3">
            <w:pPr>
              <w:pStyle w:val="ac"/>
              <w:rPr>
                <w:rFonts w:hint="eastAsia"/>
              </w:rPr>
            </w:pPr>
            <w:r>
              <w:rPr>
                <w:rFonts w:hint="eastAsia"/>
              </w:rPr>
              <w:t>3.86</w:t>
            </w:r>
          </w:p>
        </w:tc>
        <w:tc>
          <w:tcPr>
            <w:tcW w:w="1444" w:type="pct"/>
            <w:vAlign w:val="center"/>
          </w:tcPr>
          <w:p w14:paraId="5547856F" w14:textId="77777777" w:rsidR="00094034" w:rsidRDefault="00000000" w:rsidP="00742CC3">
            <w:pPr>
              <w:pStyle w:val="ac"/>
              <w:rPr>
                <w:rFonts w:hint="eastAsia"/>
              </w:rPr>
            </w:pPr>
            <w:r>
              <w:rPr>
                <w:rFonts w:hint="eastAsia"/>
              </w:rPr>
              <w:t>2.07%</w:t>
            </w:r>
          </w:p>
        </w:tc>
      </w:tr>
      <w:tr w:rsidR="00094034" w14:paraId="2AD662BB" w14:textId="77777777">
        <w:trPr>
          <w:trHeight w:val="183"/>
          <w:jc w:val="center"/>
        </w:trPr>
        <w:tc>
          <w:tcPr>
            <w:tcW w:w="1105" w:type="pct"/>
            <w:vMerge/>
            <w:vAlign w:val="center"/>
          </w:tcPr>
          <w:p w14:paraId="526FB718" w14:textId="77777777" w:rsidR="00094034" w:rsidRDefault="00094034" w:rsidP="00742CC3">
            <w:pPr>
              <w:pStyle w:val="ac"/>
              <w:rPr>
                <w:rFonts w:hint="eastAsia"/>
              </w:rPr>
            </w:pPr>
          </w:p>
        </w:tc>
        <w:tc>
          <w:tcPr>
            <w:tcW w:w="744" w:type="pct"/>
            <w:vAlign w:val="center"/>
          </w:tcPr>
          <w:p w14:paraId="22CFEBD6" w14:textId="77777777" w:rsidR="00094034" w:rsidRDefault="00000000" w:rsidP="00742CC3">
            <w:pPr>
              <w:pStyle w:val="ac"/>
              <w:rPr>
                <w:rFonts w:hint="eastAsia"/>
              </w:rPr>
            </w:pPr>
            <w:r>
              <w:rPr>
                <w:rFonts w:hint="eastAsia"/>
              </w:rPr>
              <w:t>3</w:t>
            </w:r>
          </w:p>
        </w:tc>
        <w:tc>
          <w:tcPr>
            <w:tcW w:w="1708" w:type="pct"/>
            <w:vAlign w:val="center"/>
          </w:tcPr>
          <w:p w14:paraId="1D973B99" w14:textId="77777777" w:rsidR="00094034" w:rsidRDefault="00000000" w:rsidP="00742CC3">
            <w:pPr>
              <w:pStyle w:val="ac"/>
              <w:rPr>
                <w:rFonts w:hint="eastAsia"/>
              </w:rPr>
            </w:pPr>
            <w:r>
              <w:rPr>
                <w:rFonts w:hint="eastAsia"/>
              </w:rPr>
              <w:t>4.45</w:t>
            </w:r>
          </w:p>
        </w:tc>
        <w:tc>
          <w:tcPr>
            <w:tcW w:w="1444" w:type="pct"/>
            <w:vAlign w:val="center"/>
          </w:tcPr>
          <w:p w14:paraId="4DD621AA" w14:textId="77777777" w:rsidR="00094034" w:rsidRDefault="00000000" w:rsidP="00742CC3">
            <w:pPr>
              <w:pStyle w:val="ac"/>
              <w:rPr>
                <w:rFonts w:hint="eastAsia"/>
              </w:rPr>
            </w:pPr>
            <w:r>
              <w:rPr>
                <w:rFonts w:hint="eastAsia"/>
              </w:rPr>
              <w:t>11.72%</w:t>
            </w:r>
          </w:p>
        </w:tc>
      </w:tr>
      <w:tr w:rsidR="00094034" w14:paraId="68E497E5" w14:textId="77777777">
        <w:trPr>
          <w:trHeight w:val="207"/>
          <w:jc w:val="center"/>
        </w:trPr>
        <w:tc>
          <w:tcPr>
            <w:tcW w:w="1105" w:type="pct"/>
            <w:vMerge/>
            <w:vAlign w:val="center"/>
          </w:tcPr>
          <w:p w14:paraId="7D966FF4" w14:textId="77777777" w:rsidR="00094034" w:rsidRDefault="00094034" w:rsidP="00742CC3">
            <w:pPr>
              <w:pStyle w:val="ac"/>
              <w:rPr>
                <w:rFonts w:hint="eastAsia"/>
              </w:rPr>
            </w:pPr>
          </w:p>
        </w:tc>
        <w:tc>
          <w:tcPr>
            <w:tcW w:w="744" w:type="pct"/>
            <w:vAlign w:val="center"/>
          </w:tcPr>
          <w:p w14:paraId="0F51E38C" w14:textId="77777777" w:rsidR="00094034" w:rsidRDefault="00000000" w:rsidP="00742CC3">
            <w:pPr>
              <w:pStyle w:val="ac"/>
              <w:rPr>
                <w:rFonts w:hint="eastAsia"/>
              </w:rPr>
            </w:pPr>
            <w:r>
              <w:rPr>
                <w:rFonts w:hint="eastAsia"/>
              </w:rPr>
              <w:t>4</w:t>
            </w:r>
          </w:p>
        </w:tc>
        <w:tc>
          <w:tcPr>
            <w:tcW w:w="1708" w:type="pct"/>
            <w:vAlign w:val="center"/>
          </w:tcPr>
          <w:p w14:paraId="539327BB" w14:textId="77777777" w:rsidR="00094034" w:rsidRDefault="00000000" w:rsidP="00742CC3">
            <w:pPr>
              <w:pStyle w:val="ac"/>
              <w:rPr>
                <w:rFonts w:hint="eastAsia"/>
              </w:rPr>
            </w:pPr>
            <w:r>
              <w:rPr>
                <w:rFonts w:hint="eastAsia"/>
              </w:rPr>
              <w:t>4.32</w:t>
            </w:r>
          </w:p>
        </w:tc>
        <w:tc>
          <w:tcPr>
            <w:tcW w:w="1444" w:type="pct"/>
            <w:vAlign w:val="center"/>
          </w:tcPr>
          <w:p w14:paraId="4F6821C6" w14:textId="77777777" w:rsidR="00094034" w:rsidRDefault="00000000" w:rsidP="00742CC3">
            <w:pPr>
              <w:pStyle w:val="ac"/>
              <w:rPr>
                <w:rFonts w:hint="eastAsia"/>
              </w:rPr>
            </w:pPr>
            <w:r>
              <w:rPr>
                <w:rFonts w:hint="eastAsia"/>
              </w:rPr>
              <w:t>5.44%</w:t>
            </w:r>
          </w:p>
        </w:tc>
      </w:tr>
      <w:tr w:rsidR="00094034" w14:paraId="707D64FF" w14:textId="77777777">
        <w:trPr>
          <w:trHeight w:val="479"/>
          <w:jc w:val="center"/>
        </w:trPr>
        <w:tc>
          <w:tcPr>
            <w:tcW w:w="1105" w:type="pct"/>
            <w:vMerge/>
            <w:vAlign w:val="center"/>
          </w:tcPr>
          <w:p w14:paraId="24A42CC5" w14:textId="77777777" w:rsidR="00094034" w:rsidRDefault="00094034" w:rsidP="00742CC3">
            <w:pPr>
              <w:pStyle w:val="ac"/>
              <w:rPr>
                <w:rFonts w:hint="eastAsia"/>
              </w:rPr>
            </w:pPr>
          </w:p>
        </w:tc>
        <w:tc>
          <w:tcPr>
            <w:tcW w:w="744" w:type="pct"/>
            <w:vAlign w:val="center"/>
          </w:tcPr>
          <w:p w14:paraId="49564FB7" w14:textId="77777777" w:rsidR="00094034" w:rsidRDefault="00000000" w:rsidP="00742CC3">
            <w:pPr>
              <w:pStyle w:val="ac"/>
              <w:rPr>
                <w:rFonts w:hint="eastAsia"/>
              </w:rPr>
            </w:pPr>
            <w:r>
              <w:rPr>
                <w:rFonts w:hint="eastAsia"/>
              </w:rPr>
              <w:t>5</w:t>
            </w:r>
          </w:p>
        </w:tc>
        <w:tc>
          <w:tcPr>
            <w:tcW w:w="1708" w:type="pct"/>
            <w:vAlign w:val="center"/>
          </w:tcPr>
          <w:p w14:paraId="0F3D0AA2" w14:textId="77777777" w:rsidR="00094034" w:rsidRDefault="00000000" w:rsidP="00742CC3">
            <w:pPr>
              <w:pStyle w:val="ac"/>
              <w:rPr>
                <w:rFonts w:hint="eastAsia"/>
              </w:rPr>
            </w:pPr>
            <w:r>
              <w:rPr>
                <w:rFonts w:hint="eastAsia"/>
              </w:rPr>
              <w:t>5.20</w:t>
            </w:r>
          </w:p>
        </w:tc>
        <w:tc>
          <w:tcPr>
            <w:tcW w:w="1444" w:type="pct"/>
            <w:vAlign w:val="center"/>
          </w:tcPr>
          <w:p w14:paraId="33CD9296" w14:textId="77777777" w:rsidR="00094034" w:rsidRDefault="00000000" w:rsidP="00742CC3">
            <w:pPr>
              <w:pStyle w:val="ac"/>
              <w:rPr>
                <w:rFonts w:hint="eastAsia"/>
              </w:rPr>
            </w:pPr>
            <w:r>
              <w:rPr>
                <w:rFonts w:hint="eastAsia"/>
              </w:rPr>
              <w:t>6.27%</w:t>
            </w:r>
          </w:p>
        </w:tc>
      </w:tr>
    </w:tbl>
    <w:p w14:paraId="1598890B"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要求：≤8%</w:t>
      </w:r>
    </w:p>
    <w:p w14:paraId="17CE2EF5"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试验表明，四台仪器重复性不超过8%，厂家3的仪器重复性为11.72%，第2次测量值偏低导致重复性偏大，建议厂家提高仪器的稳定性。</w:t>
      </w:r>
    </w:p>
    <w:p w14:paraId="5BEC3D2D"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noProof/>
          <w:sz w:val="24"/>
        </w:rPr>
        <w:drawing>
          <wp:inline distT="0" distB="0" distL="114300" distR="114300" wp14:anchorId="692F322E" wp14:editId="52A4EB2C">
            <wp:extent cx="5271135" cy="473710"/>
            <wp:effectExtent l="0" t="0" r="5715" b="2540"/>
            <wp:docPr id="974352869" name="图片 97435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352869" name="图片 974352869"/>
                    <pic:cNvPicPr>
                      <a:picLocks noChangeAspect="1"/>
                    </pic:cNvPicPr>
                  </pic:nvPicPr>
                  <pic:blipFill>
                    <a:blip r:embed="rId20"/>
                    <a:stretch>
                      <a:fillRect/>
                    </a:stretch>
                  </pic:blipFill>
                  <pic:spPr>
                    <a:xfrm>
                      <a:off x="0" y="0"/>
                      <a:ext cx="5271135" cy="473710"/>
                    </a:xfrm>
                    <a:prstGeom prst="rect">
                      <a:avLst/>
                    </a:prstGeom>
                    <a:noFill/>
                    <a:ln>
                      <a:noFill/>
                    </a:ln>
                  </pic:spPr>
                </pic:pic>
              </a:graphicData>
            </a:graphic>
          </wp:inline>
        </w:drawing>
      </w:r>
    </w:p>
    <w:p w14:paraId="10F3CED4" w14:textId="77777777" w:rsidR="00094034" w:rsidRDefault="00000000" w:rsidP="00742CC3">
      <w:pPr>
        <w:pStyle w:val="ac"/>
        <w:rPr>
          <w:rFonts w:hint="eastAsia"/>
        </w:rPr>
      </w:pPr>
      <w:r>
        <w:rPr>
          <w:rFonts w:hint="eastAsia"/>
        </w:rPr>
        <w:t>表14高浓度淹没</w:t>
      </w:r>
    </w:p>
    <w:tbl>
      <w:tblPr>
        <w:tblStyle w:val="a9"/>
        <w:tblW w:w="8505" w:type="dxa"/>
        <w:tblInd w:w="-79" w:type="dxa"/>
        <w:tblLayout w:type="fixed"/>
        <w:tblLook w:val="04A0" w:firstRow="1" w:lastRow="0" w:firstColumn="1" w:lastColumn="0" w:noHBand="0" w:noVBand="1"/>
      </w:tblPr>
      <w:tblGrid>
        <w:gridCol w:w="1578"/>
        <w:gridCol w:w="1316"/>
        <w:gridCol w:w="1404"/>
        <w:gridCol w:w="1918"/>
        <w:gridCol w:w="2289"/>
      </w:tblGrid>
      <w:tr w:rsidR="00094034" w14:paraId="767F0974" w14:textId="77777777">
        <w:trPr>
          <w:trHeight w:val="572"/>
        </w:trPr>
        <w:tc>
          <w:tcPr>
            <w:tcW w:w="2894" w:type="dxa"/>
            <w:gridSpan w:val="2"/>
            <w:vAlign w:val="center"/>
          </w:tcPr>
          <w:p w14:paraId="74524892" w14:textId="77777777" w:rsidR="00094034" w:rsidRDefault="00094034" w:rsidP="00742CC3">
            <w:pPr>
              <w:pStyle w:val="ac"/>
              <w:rPr>
                <w:rFonts w:hint="eastAsia"/>
              </w:rPr>
            </w:pPr>
          </w:p>
        </w:tc>
        <w:tc>
          <w:tcPr>
            <w:tcW w:w="1404" w:type="dxa"/>
            <w:vAlign w:val="center"/>
          </w:tcPr>
          <w:p w14:paraId="13B6F3AA" w14:textId="77777777" w:rsidR="00094034" w:rsidRDefault="00000000" w:rsidP="00742CC3">
            <w:pPr>
              <w:pStyle w:val="ac"/>
              <w:rPr>
                <w:rFonts w:hint="eastAsia"/>
              </w:rPr>
            </w:pPr>
            <w:r>
              <w:rPr>
                <w:rFonts w:hint="eastAsia"/>
              </w:rPr>
              <w:t>设备厂商</w:t>
            </w:r>
          </w:p>
        </w:tc>
        <w:tc>
          <w:tcPr>
            <w:tcW w:w="1918" w:type="dxa"/>
            <w:vAlign w:val="center"/>
          </w:tcPr>
          <w:p w14:paraId="6CAE8683" w14:textId="77777777" w:rsidR="00094034" w:rsidRDefault="00000000" w:rsidP="00742CC3">
            <w:pPr>
              <w:pStyle w:val="ac"/>
              <w:rPr>
                <w:rFonts w:hint="eastAsia"/>
              </w:rPr>
            </w:pPr>
            <w:r>
              <w:rPr>
                <w:rFonts w:hint="eastAsia"/>
              </w:rPr>
              <w:t>平均值（mg/m3）</w:t>
            </w:r>
          </w:p>
        </w:tc>
        <w:tc>
          <w:tcPr>
            <w:tcW w:w="2289" w:type="dxa"/>
            <w:vAlign w:val="center"/>
          </w:tcPr>
          <w:p w14:paraId="7E6B53E9" w14:textId="77777777" w:rsidR="00094034" w:rsidRDefault="00000000" w:rsidP="00742CC3">
            <w:pPr>
              <w:pStyle w:val="ac"/>
              <w:rPr>
                <w:rFonts w:hint="eastAsia"/>
              </w:rPr>
            </w:pPr>
            <w:r>
              <w:rPr>
                <w:rFonts w:hint="eastAsia"/>
              </w:rPr>
              <w:t>示值误差（%）</w:t>
            </w:r>
          </w:p>
        </w:tc>
      </w:tr>
      <w:tr w:rsidR="00094034" w14:paraId="512385BD" w14:textId="77777777">
        <w:trPr>
          <w:trHeight w:val="400"/>
        </w:trPr>
        <w:tc>
          <w:tcPr>
            <w:tcW w:w="1578" w:type="dxa"/>
            <w:vMerge w:val="restart"/>
            <w:vAlign w:val="center"/>
          </w:tcPr>
          <w:p w14:paraId="029A9211" w14:textId="77777777" w:rsidR="00094034" w:rsidRDefault="00000000" w:rsidP="00742CC3">
            <w:pPr>
              <w:pStyle w:val="ac"/>
              <w:rPr>
                <w:rFonts w:hint="eastAsia"/>
              </w:rPr>
            </w:pPr>
            <w:r>
              <w:rPr>
                <w:rFonts w:hint="eastAsia"/>
              </w:rPr>
              <w:t>油烟</w:t>
            </w:r>
          </w:p>
        </w:tc>
        <w:tc>
          <w:tcPr>
            <w:tcW w:w="1316" w:type="dxa"/>
            <w:vMerge w:val="restart"/>
            <w:vAlign w:val="center"/>
          </w:tcPr>
          <w:p w14:paraId="7EE25171" w14:textId="77777777" w:rsidR="00094034" w:rsidRDefault="00000000" w:rsidP="00742CC3">
            <w:pPr>
              <w:pStyle w:val="ac"/>
              <w:rPr>
                <w:rFonts w:hint="eastAsia"/>
              </w:rPr>
            </w:pPr>
            <w:r>
              <w:rPr>
                <w:rFonts w:hint="eastAsia"/>
              </w:rPr>
              <w:t>1mg/m3</w:t>
            </w:r>
          </w:p>
        </w:tc>
        <w:tc>
          <w:tcPr>
            <w:tcW w:w="1404" w:type="dxa"/>
            <w:shd w:val="clear" w:color="auto" w:fill="FFFF00"/>
            <w:vAlign w:val="center"/>
          </w:tcPr>
          <w:p w14:paraId="4B5B4FE4" w14:textId="77777777" w:rsidR="00094034" w:rsidRDefault="00000000" w:rsidP="00742CC3">
            <w:pPr>
              <w:pStyle w:val="ac"/>
              <w:rPr>
                <w:rFonts w:hint="eastAsia"/>
              </w:rPr>
            </w:pPr>
            <w:r>
              <w:rPr>
                <w:rFonts w:hint="eastAsia"/>
              </w:rPr>
              <w:t>参考仪器</w:t>
            </w:r>
          </w:p>
        </w:tc>
        <w:tc>
          <w:tcPr>
            <w:tcW w:w="1918" w:type="dxa"/>
            <w:shd w:val="clear" w:color="auto" w:fill="FFFF00"/>
            <w:vAlign w:val="center"/>
          </w:tcPr>
          <w:p w14:paraId="0914C7B5" w14:textId="77777777" w:rsidR="00094034" w:rsidRDefault="00000000" w:rsidP="00742CC3">
            <w:pPr>
              <w:pStyle w:val="ac"/>
              <w:rPr>
                <w:rFonts w:hint="eastAsia"/>
              </w:rPr>
            </w:pPr>
            <w:r>
              <w:rPr>
                <w:rFonts w:hint="eastAsia"/>
              </w:rPr>
              <w:t>1.53</w:t>
            </w:r>
          </w:p>
        </w:tc>
        <w:tc>
          <w:tcPr>
            <w:tcW w:w="2289" w:type="dxa"/>
            <w:shd w:val="clear" w:color="auto" w:fill="FFFF00"/>
            <w:vAlign w:val="center"/>
          </w:tcPr>
          <w:p w14:paraId="7D3E111D" w14:textId="77777777" w:rsidR="00094034" w:rsidRDefault="00000000" w:rsidP="00742CC3">
            <w:pPr>
              <w:pStyle w:val="ac"/>
              <w:rPr>
                <w:rFonts w:hint="eastAsia"/>
              </w:rPr>
            </w:pPr>
            <w:r>
              <w:rPr>
                <w:rFonts w:hint="eastAsia"/>
              </w:rPr>
              <w:t>/</w:t>
            </w:r>
          </w:p>
        </w:tc>
      </w:tr>
      <w:tr w:rsidR="00094034" w14:paraId="548BEAAF" w14:textId="77777777">
        <w:trPr>
          <w:trHeight w:val="400"/>
        </w:trPr>
        <w:tc>
          <w:tcPr>
            <w:tcW w:w="1578" w:type="dxa"/>
            <w:vMerge/>
            <w:vAlign w:val="center"/>
          </w:tcPr>
          <w:p w14:paraId="5ACE7568" w14:textId="77777777" w:rsidR="00094034" w:rsidRDefault="00094034" w:rsidP="00742CC3">
            <w:pPr>
              <w:pStyle w:val="ac"/>
              <w:rPr>
                <w:rFonts w:hint="eastAsia"/>
              </w:rPr>
            </w:pPr>
          </w:p>
        </w:tc>
        <w:tc>
          <w:tcPr>
            <w:tcW w:w="1316" w:type="dxa"/>
            <w:vMerge/>
            <w:vAlign w:val="center"/>
          </w:tcPr>
          <w:p w14:paraId="3D7AF724" w14:textId="77777777" w:rsidR="00094034" w:rsidRDefault="00094034" w:rsidP="00742CC3">
            <w:pPr>
              <w:pStyle w:val="ac"/>
              <w:rPr>
                <w:rFonts w:hint="eastAsia"/>
              </w:rPr>
            </w:pPr>
          </w:p>
        </w:tc>
        <w:tc>
          <w:tcPr>
            <w:tcW w:w="1404" w:type="dxa"/>
            <w:vAlign w:val="center"/>
          </w:tcPr>
          <w:p w14:paraId="3167EA2F" w14:textId="77777777" w:rsidR="00094034" w:rsidRDefault="00000000" w:rsidP="00742CC3">
            <w:pPr>
              <w:pStyle w:val="ac"/>
              <w:rPr>
                <w:rFonts w:hint="eastAsia"/>
              </w:rPr>
            </w:pPr>
            <w:r>
              <w:rPr>
                <w:rFonts w:hint="eastAsia"/>
              </w:rPr>
              <w:t>1</w:t>
            </w:r>
          </w:p>
        </w:tc>
        <w:tc>
          <w:tcPr>
            <w:tcW w:w="1918" w:type="dxa"/>
            <w:vAlign w:val="center"/>
          </w:tcPr>
          <w:p w14:paraId="7A8FD933" w14:textId="77777777" w:rsidR="00094034" w:rsidRDefault="00000000" w:rsidP="00742CC3">
            <w:pPr>
              <w:pStyle w:val="ac"/>
              <w:rPr>
                <w:rFonts w:hint="eastAsia"/>
              </w:rPr>
            </w:pPr>
            <w:r>
              <w:rPr>
                <w:rFonts w:hint="eastAsia"/>
              </w:rPr>
              <w:t>1.46</w:t>
            </w:r>
          </w:p>
        </w:tc>
        <w:tc>
          <w:tcPr>
            <w:tcW w:w="2289" w:type="dxa"/>
            <w:vAlign w:val="center"/>
          </w:tcPr>
          <w:p w14:paraId="7B8C6858" w14:textId="77777777" w:rsidR="00094034" w:rsidRDefault="00000000" w:rsidP="00742CC3">
            <w:pPr>
              <w:pStyle w:val="ac"/>
              <w:rPr>
                <w:rFonts w:hint="eastAsia"/>
              </w:rPr>
            </w:pPr>
            <w:r>
              <w:rPr>
                <w:rFonts w:hint="eastAsia"/>
              </w:rPr>
              <w:t>-4.58%</w:t>
            </w:r>
          </w:p>
        </w:tc>
      </w:tr>
      <w:tr w:rsidR="00094034" w14:paraId="63CD2BA5" w14:textId="77777777">
        <w:trPr>
          <w:trHeight w:val="403"/>
        </w:trPr>
        <w:tc>
          <w:tcPr>
            <w:tcW w:w="1578" w:type="dxa"/>
            <w:vMerge/>
            <w:vAlign w:val="center"/>
          </w:tcPr>
          <w:p w14:paraId="16B71903" w14:textId="77777777" w:rsidR="00094034" w:rsidRDefault="00094034" w:rsidP="00742CC3">
            <w:pPr>
              <w:pStyle w:val="ac"/>
              <w:rPr>
                <w:rFonts w:hint="eastAsia"/>
              </w:rPr>
            </w:pPr>
          </w:p>
        </w:tc>
        <w:tc>
          <w:tcPr>
            <w:tcW w:w="1316" w:type="dxa"/>
            <w:vMerge/>
            <w:vAlign w:val="center"/>
          </w:tcPr>
          <w:p w14:paraId="09474EFA" w14:textId="77777777" w:rsidR="00094034" w:rsidRDefault="00094034" w:rsidP="00742CC3">
            <w:pPr>
              <w:pStyle w:val="ac"/>
              <w:rPr>
                <w:rFonts w:hint="eastAsia"/>
              </w:rPr>
            </w:pPr>
          </w:p>
        </w:tc>
        <w:tc>
          <w:tcPr>
            <w:tcW w:w="1404" w:type="dxa"/>
            <w:vAlign w:val="center"/>
          </w:tcPr>
          <w:p w14:paraId="0FAD79DB" w14:textId="77777777" w:rsidR="00094034" w:rsidRDefault="00000000" w:rsidP="00742CC3">
            <w:pPr>
              <w:pStyle w:val="ac"/>
              <w:rPr>
                <w:rFonts w:hint="eastAsia"/>
              </w:rPr>
            </w:pPr>
            <w:r>
              <w:rPr>
                <w:rFonts w:hint="eastAsia"/>
              </w:rPr>
              <w:t>3</w:t>
            </w:r>
          </w:p>
        </w:tc>
        <w:tc>
          <w:tcPr>
            <w:tcW w:w="1918" w:type="dxa"/>
            <w:vAlign w:val="center"/>
          </w:tcPr>
          <w:p w14:paraId="0D288068" w14:textId="77777777" w:rsidR="00094034" w:rsidRDefault="00000000" w:rsidP="00742CC3">
            <w:pPr>
              <w:pStyle w:val="ac"/>
              <w:rPr>
                <w:rFonts w:hint="eastAsia"/>
              </w:rPr>
            </w:pPr>
            <w:r>
              <w:rPr>
                <w:rFonts w:hint="eastAsia"/>
              </w:rPr>
              <w:t>1.80</w:t>
            </w:r>
          </w:p>
        </w:tc>
        <w:tc>
          <w:tcPr>
            <w:tcW w:w="2289" w:type="dxa"/>
            <w:vAlign w:val="center"/>
          </w:tcPr>
          <w:p w14:paraId="65D2D1F2" w14:textId="77777777" w:rsidR="00094034" w:rsidRDefault="00000000" w:rsidP="00742CC3">
            <w:pPr>
              <w:pStyle w:val="ac"/>
              <w:rPr>
                <w:rFonts w:hint="eastAsia"/>
              </w:rPr>
            </w:pPr>
            <w:r>
              <w:rPr>
                <w:rFonts w:hint="eastAsia"/>
              </w:rPr>
              <w:t xml:space="preserve">17.65% </w:t>
            </w:r>
          </w:p>
        </w:tc>
      </w:tr>
      <w:tr w:rsidR="00094034" w14:paraId="64B6D2CA" w14:textId="77777777">
        <w:trPr>
          <w:trHeight w:val="403"/>
        </w:trPr>
        <w:tc>
          <w:tcPr>
            <w:tcW w:w="1578" w:type="dxa"/>
            <w:vMerge/>
            <w:vAlign w:val="center"/>
          </w:tcPr>
          <w:p w14:paraId="51104703" w14:textId="77777777" w:rsidR="00094034" w:rsidRDefault="00094034" w:rsidP="00742CC3">
            <w:pPr>
              <w:pStyle w:val="ac"/>
              <w:rPr>
                <w:rFonts w:hint="eastAsia"/>
              </w:rPr>
            </w:pPr>
          </w:p>
        </w:tc>
        <w:tc>
          <w:tcPr>
            <w:tcW w:w="1316" w:type="dxa"/>
            <w:vMerge/>
            <w:vAlign w:val="center"/>
          </w:tcPr>
          <w:p w14:paraId="78811168" w14:textId="77777777" w:rsidR="00094034" w:rsidRDefault="00094034" w:rsidP="00742CC3">
            <w:pPr>
              <w:pStyle w:val="ac"/>
              <w:rPr>
                <w:rFonts w:hint="eastAsia"/>
              </w:rPr>
            </w:pPr>
          </w:p>
        </w:tc>
        <w:tc>
          <w:tcPr>
            <w:tcW w:w="1404" w:type="dxa"/>
            <w:shd w:val="clear" w:color="auto" w:fill="FFFF00"/>
            <w:vAlign w:val="center"/>
          </w:tcPr>
          <w:p w14:paraId="0A85C263" w14:textId="77777777" w:rsidR="00094034" w:rsidRDefault="00000000" w:rsidP="00742CC3">
            <w:pPr>
              <w:pStyle w:val="ac"/>
              <w:rPr>
                <w:rFonts w:hint="eastAsia"/>
              </w:rPr>
            </w:pPr>
            <w:r>
              <w:rPr>
                <w:rFonts w:hint="eastAsia"/>
              </w:rPr>
              <w:t>参考仪器</w:t>
            </w:r>
          </w:p>
        </w:tc>
        <w:tc>
          <w:tcPr>
            <w:tcW w:w="1918" w:type="dxa"/>
            <w:shd w:val="clear" w:color="auto" w:fill="FFFF00"/>
            <w:vAlign w:val="center"/>
          </w:tcPr>
          <w:p w14:paraId="487F1054" w14:textId="77777777" w:rsidR="00094034" w:rsidRDefault="00000000" w:rsidP="00742CC3">
            <w:pPr>
              <w:pStyle w:val="ac"/>
              <w:rPr>
                <w:rFonts w:hint="eastAsia"/>
              </w:rPr>
            </w:pPr>
            <w:r>
              <w:rPr>
                <w:rFonts w:hint="eastAsia"/>
              </w:rPr>
              <w:t>1.74</w:t>
            </w:r>
          </w:p>
        </w:tc>
        <w:tc>
          <w:tcPr>
            <w:tcW w:w="2289" w:type="dxa"/>
            <w:shd w:val="clear" w:color="auto" w:fill="FFFF00"/>
            <w:vAlign w:val="center"/>
          </w:tcPr>
          <w:p w14:paraId="4DA2417A" w14:textId="77777777" w:rsidR="00094034" w:rsidRDefault="00000000" w:rsidP="00742CC3">
            <w:pPr>
              <w:pStyle w:val="ac"/>
              <w:rPr>
                <w:rFonts w:hint="eastAsia"/>
              </w:rPr>
            </w:pPr>
            <w:r>
              <w:rPr>
                <w:rFonts w:hint="eastAsia"/>
              </w:rPr>
              <w:t>/</w:t>
            </w:r>
          </w:p>
        </w:tc>
      </w:tr>
      <w:tr w:rsidR="00094034" w14:paraId="70898BA9" w14:textId="77777777">
        <w:trPr>
          <w:trHeight w:val="403"/>
        </w:trPr>
        <w:tc>
          <w:tcPr>
            <w:tcW w:w="1578" w:type="dxa"/>
            <w:vMerge/>
            <w:vAlign w:val="center"/>
          </w:tcPr>
          <w:p w14:paraId="54C177AF" w14:textId="77777777" w:rsidR="00094034" w:rsidRDefault="00094034" w:rsidP="00742CC3">
            <w:pPr>
              <w:pStyle w:val="ac"/>
              <w:rPr>
                <w:rFonts w:hint="eastAsia"/>
              </w:rPr>
            </w:pPr>
          </w:p>
        </w:tc>
        <w:tc>
          <w:tcPr>
            <w:tcW w:w="1316" w:type="dxa"/>
            <w:vMerge/>
            <w:vAlign w:val="center"/>
          </w:tcPr>
          <w:p w14:paraId="1D19486C" w14:textId="77777777" w:rsidR="00094034" w:rsidRDefault="00094034" w:rsidP="00742CC3">
            <w:pPr>
              <w:pStyle w:val="ac"/>
              <w:rPr>
                <w:rFonts w:hint="eastAsia"/>
              </w:rPr>
            </w:pPr>
          </w:p>
        </w:tc>
        <w:tc>
          <w:tcPr>
            <w:tcW w:w="1404" w:type="dxa"/>
            <w:vAlign w:val="center"/>
          </w:tcPr>
          <w:p w14:paraId="6DFC1486" w14:textId="77777777" w:rsidR="00094034" w:rsidRDefault="00000000" w:rsidP="00742CC3">
            <w:pPr>
              <w:pStyle w:val="ac"/>
              <w:rPr>
                <w:rFonts w:hint="eastAsia"/>
              </w:rPr>
            </w:pPr>
            <w:r>
              <w:rPr>
                <w:rFonts w:hint="eastAsia"/>
              </w:rPr>
              <w:t>2</w:t>
            </w:r>
          </w:p>
        </w:tc>
        <w:tc>
          <w:tcPr>
            <w:tcW w:w="1918" w:type="dxa"/>
            <w:vAlign w:val="center"/>
          </w:tcPr>
          <w:p w14:paraId="7AAC48D8" w14:textId="77777777" w:rsidR="00094034" w:rsidRDefault="00000000" w:rsidP="00742CC3">
            <w:pPr>
              <w:pStyle w:val="ac"/>
              <w:rPr>
                <w:rFonts w:hint="eastAsia"/>
              </w:rPr>
            </w:pPr>
            <w:r>
              <w:rPr>
                <w:rFonts w:hint="eastAsia"/>
              </w:rPr>
              <w:t>0.34</w:t>
            </w:r>
          </w:p>
        </w:tc>
        <w:tc>
          <w:tcPr>
            <w:tcW w:w="2289" w:type="dxa"/>
            <w:vAlign w:val="center"/>
          </w:tcPr>
          <w:p w14:paraId="3E738386" w14:textId="77777777" w:rsidR="00094034" w:rsidRDefault="00000000" w:rsidP="00742CC3">
            <w:pPr>
              <w:pStyle w:val="ac"/>
              <w:rPr>
                <w:rFonts w:hint="eastAsia"/>
              </w:rPr>
            </w:pPr>
            <w:r>
              <w:rPr>
                <w:rFonts w:hint="eastAsia"/>
              </w:rPr>
              <w:t>-80.46%</w:t>
            </w:r>
          </w:p>
        </w:tc>
      </w:tr>
      <w:tr w:rsidR="00094034" w14:paraId="2C7BAEE7" w14:textId="77777777">
        <w:trPr>
          <w:trHeight w:val="403"/>
        </w:trPr>
        <w:tc>
          <w:tcPr>
            <w:tcW w:w="1578" w:type="dxa"/>
            <w:vMerge/>
            <w:vAlign w:val="center"/>
          </w:tcPr>
          <w:p w14:paraId="67BFC662" w14:textId="77777777" w:rsidR="00094034" w:rsidRDefault="00094034" w:rsidP="00742CC3">
            <w:pPr>
              <w:pStyle w:val="ac"/>
              <w:rPr>
                <w:rFonts w:hint="eastAsia"/>
              </w:rPr>
            </w:pPr>
          </w:p>
        </w:tc>
        <w:tc>
          <w:tcPr>
            <w:tcW w:w="1316" w:type="dxa"/>
            <w:vMerge/>
            <w:vAlign w:val="center"/>
          </w:tcPr>
          <w:p w14:paraId="432A7E56" w14:textId="77777777" w:rsidR="00094034" w:rsidRDefault="00094034" w:rsidP="00742CC3">
            <w:pPr>
              <w:pStyle w:val="ac"/>
              <w:rPr>
                <w:rFonts w:hint="eastAsia"/>
              </w:rPr>
            </w:pPr>
          </w:p>
        </w:tc>
        <w:tc>
          <w:tcPr>
            <w:tcW w:w="1404" w:type="dxa"/>
            <w:vAlign w:val="center"/>
          </w:tcPr>
          <w:p w14:paraId="503D6FD3" w14:textId="77777777" w:rsidR="00094034" w:rsidRDefault="00000000" w:rsidP="00742CC3">
            <w:pPr>
              <w:pStyle w:val="ac"/>
              <w:rPr>
                <w:rFonts w:hint="eastAsia"/>
              </w:rPr>
            </w:pPr>
            <w:r>
              <w:rPr>
                <w:rFonts w:hint="eastAsia"/>
              </w:rPr>
              <w:t>4</w:t>
            </w:r>
          </w:p>
        </w:tc>
        <w:tc>
          <w:tcPr>
            <w:tcW w:w="1918" w:type="dxa"/>
            <w:vAlign w:val="center"/>
          </w:tcPr>
          <w:p w14:paraId="5FF7CF89" w14:textId="77777777" w:rsidR="00094034" w:rsidRDefault="00000000" w:rsidP="00742CC3">
            <w:pPr>
              <w:pStyle w:val="ac"/>
              <w:rPr>
                <w:rFonts w:hint="eastAsia"/>
              </w:rPr>
            </w:pPr>
            <w:r>
              <w:rPr>
                <w:rFonts w:hint="eastAsia"/>
              </w:rPr>
              <w:t>1.53</w:t>
            </w:r>
          </w:p>
        </w:tc>
        <w:tc>
          <w:tcPr>
            <w:tcW w:w="2289" w:type="dxa"/>
            <w:vAlign w:val="center"/>
          </w:tcPr>
          <w:p w14:paraId="40E1AB76" w14:textId="77777777" w:rsidR="00094034" w:rsidRDefault="00000000" w:rsidP="00742CC3">
            <w:pPr>
              <w:pStyle w:val="ac"/>
              <w:rPr>
                <w:rFonts w:hint="eastAsia"/>
              </w:rPr>
            </w:pPr>
            <w:r>
              <w:rPr>
                <w:rFonts w:hint="eastAsia"/>
              </w:rPr>
              <w:t>-12.07%</w:t>
            </w:r>
          </w:p>
        </w:tc>
      </w:tr>
      <w:tr w:rsidR="00094034" w14:paraId="00FA87E7" w14:textId="77777777">
        <w:trPr>
          <w:trHeight w:val="321"/>
        </w:trPr>
        <w:tc>
          <w:tcPr>
            <w:tcW w:w="1578" w:type="dxa"/>
            <w:vMerge/>
            <w:vAlign w:val="center"/>
          </w:tcPr>
          <w:p w14:paraId="1FF19003" w14:textId="77777777" w:rsidR="00094034" w:rsidRDefault="00094034" w:rsidP="00742CC3">
            <w:pPr>
              <w:pStyle w:val="ac"/>
              <w:rPr>
                <w:rFonts w:hint="eastAsia"/>
              </w:rPr>
            </w:pPr>
          </w:p>
        </w:tc>
        <w:tc>
          <w:tcPr>
            <w:tcW w:w="1316" w:type="dxa"/>
            <w:vMerge/>
            <w:vAlign w:val="center"/>
          </w:tcPr>
          <w:p w14:paraId="112E907E" w14:textId="77777777" w:rsidR="00094034" w:rsidRDefault="00094034" w:rsidP="00742CC3">
            <w:pPr>
              <w:pStyle w:val="ac"/>
              <w:rPr>
                <w:rFonts w:hint="eastAsia"/>
              </w:rPr>
            </w:pPr>
          </w:p>
        </w:tc>
        <w:tc>
          <w:tcPr>
            <w:tcW w:w="1404" w:type="dxa"/>
            <w:vAlign w:val="center"/>
          </w:tcPr>
          <w:p w14:paraId="4269FD9A" w14:textId="77777777" w:rsidR="00094034" w:rsidRDefault="00000000" w:rsidP="00742CC3">
            <w:pPr>
              <w:pStyle w:val="ac"/>
              <w:rPr>
                <w:rFonts w:hint="eastAsia"/>
              </w:rPr>
            </w:pPr>
            <w:r>
              <w:rPr>
                <w:rFonts w:hint="eastAsia"/>
              </w:rPr>
              <w:t>5</w:t>
            </w:r>
          </w:p>
        </w:tc>
        <w:tc>
          <w:tcPr>
            <w:tcW w:w="1918" w:type="dxa"/>
            <w:vAlign w:val="center"/>
          </w:tcPr>
          <w:p w14:paraId="7732CFE3" w14:textId="77777777" w:rsidR="00094034" w:rsidRDefault="00000000" w:rsidP="00742CC3">
            <w:pPr>
              <w:pStyle w:val="ac"/>
              <w:rPr>
                <w:rFonts w:hint="eastAsia"/>
              </w:rPr>
            </w:pPr>
            <w:r>
              <w:rPr>
                <w:rFonts w:hint="eastAsia"/>
              </w:rPr>
              <w:t>2.28</w:t>
            </w:r>
          </w:p>
        </w:tc>
        <w:tc>
          <w:tcPr>
            <w:tcW w:w="2289" w:type="dxa"/>
            <w:vAlign w:val="center"/>
          </w:tcPr>
          <w:p w14:paraId="735E3A96" w14:textId="77777777" w:rsidR="00094034" w:rsidRDefault="00000000" w:rsidP="00742CC3">
            <w:pPr>
              <w:pStyle w:val="ac"/>
              <w:rPr>
                <w:rFonts w:hint="eastAsia"/>
              </w:rPr>
            </w:pPr>
            <w:r>
              <w:rPr>
                <w:rFonts w:hint="eastAsia"/>
              </w:rPr>
              <w:t>31.03%</w:t>
            </w:r>
          </w:p>
        </w:tc>
      </w:tr>
      <w:tr w:rsidR="00094034" w14:paraId="13E83ED4" w14:textId="77777777">
        <w:trPr>
          <w:trHeight w:val="594"/>
        </w:trPr>
        <w:tc>
          <w:tcPr>
            <w:tcW w:w="2894" w:type="dxa"/>
            <w:gridSpan w:val="2"/>
            <w:vAlign w:val="center"/>
          </w:tcPr>
          <w:p w14:paraId="263C62B1" w14:textId="77777777" w:rsidR="00094034" w:rsidRDefault="00094034" w:rsidP="00742CC3">
            <w:pPr>
              <w:pStyle w:val="ac"/>
              <w:rPr>
                <w:rFonts w:hint="eastAsia"/>
              </w:rPr>
            </w:pPr>
          </w:p>
        </w:tc>
        <w:tc>
          <w:tcPr>
            <w:tcW w:w="1404" w:type="dxa"/>
            <w:vAlign w:val="center"/>
          </w:tcPr>
          <w:p w14:paraId="75A2D580" w14:textId="77777777" w:rsidR="00094034" w:rsidRDefault="00000000" w:rsidP="00742CC3">
            <w:pPr>
              <w:pStyle w:val="ac"/>
              <w:rPr>
                <w:rFonts w:hint="eastAsia"/>
              </w:rPr>
            </w:pPr>
            <w:r>
              <w:rPr>
                <w:rFonts w:hint="eastAsia"/>
              </w:rPr>
              <w:t>设备厂商</w:t>
            </w:r>
          </w:p>
        </w:tc>
        <w:tc>
          <w:tcPr>
            <w:tcW w:w="1918" w:type="dxa"/>
            <w:vAlign w:val="center"/>
          </w:tcPr>
          <w:p w14:paraId="02E5737F" w14:textId="77777777" w:rsidR="00094034" w:rsidRDefault="00000000" w:rsidP="00742CC3">
            <w:pPr>
              <w:pStyle w:val="ac"/>
              <w:rPr>
                <w:rFonts w:hint="eastAsia"/>
              </w:rPr>
            </w:pPr>
            <w:r>
              <w:rPr>
                <w:rFonts w:hint="eastAsia"/>
              </w:rPr>
              <w:t>平均值</w:t>
            </w:r>
          </w:p>
          <w:p w14:paraId="378C7EDE" w14:textId="77777777" w:rsidR="00094034" w:rsidRDefault="00000000" w:rsidP="00742CC3">
            <w:pPr>
              <w:pStyle w:val="ac"/>
              <w:rPr>
                <w:rFonts w:hint="eastAsia"/>
              </w:rPr>
            </w:pPr>
            <w:r>
              <w:rPr>
                <w:rFonts w:hint="eastAsia"/>
              </w:rPr>
              <w:t>（mg/m3）</w:t>
            </w:r>
          </w:p>
        </w:tc>
        <w:tc>
          <w:tcPr>
            <w:tcW w:w="2289" w:type="dxa"/>
            <w:vAlign w:val="center"/>
          </w:tcPr>
          <w:p w14:paraId="23EBD92D" w14:textId="77777777" w:rsidR="00094034" w:rsidRDefault="00000000" w:rsidP="00742CC3">
            <w:pPr>
              <w:pStyle w:val="ac"/>
              <w:rPr>
                <w:rFonts w:hint="eastAsia"/>
              </w:rPr>
            </w:pPr>
            <w:r>
              <w:rPr>
                <w:rFonts w:hint="eastAsia"/>
              </w:rPr>
              <w:t>示值误差</w:t>
            </w:r>
          </w:p>
          <w:p w14:paraId="29F76B9D" w14:textId="77777777" w:rsidR="00094034" w:rsidRDefault="00000000" w:rsidP="00742CC3">
            <w:pPr>
              <w:pStyle w:val="ac"/>
              <w:rPr>
                <w:rFonts w:hint="eastAsia"/>
              </w:rPr>
            </w:pPr>
            <w:r>
              <w:rPr>
                <w:rFonts w:hint="eastAsia"/>
              </w:rPr>
              <w:t>（%）</w:t>
            </w:r>
          </w:p>
        </w:tc>
      </w:tr>
      <w:tr w:rsidR="00094034" w14:paraId="223196BE" w14:textId="77777777">
        <w:trPr>
          <w:trHeight w:val="328"/>
        </w:trPr>
        <w:tc>
          <w:tcPr>
            <w:tcW w:w="1578" w:type="dxa"/>
            <w:vMerge w:val="restart"/>
            <w:vAlign w:val="center"/>
          </w:tcPr>
          <w:p w14:paraId="4FBF07DB" w14:textId="77777777" w:rsidR="00094034" w:rsidRDefault="00000000" w:rsidP="00742CC3">
            <w:pPr>
              <w:pStyle w:val="ac"/>
              <w:rPr>
                <w:rFonts w:hint="eastAsia"/>
              </w:rPr>
            </w:pPr>
            <w:r>
              <w:rPr>
                <w:rFonts w:hint="eastAsia"/>
              </w:rPr>
              <w:t>颗粒物</w:t>
            </w:r>
          </w:p>
        </w:tc>
        <w:tc>
          <w:tcPr>
            <w:tcW w:w="1316" w:type="dxa"/>
            <w:vMerge w:val="restart"/>
            <w:vAlign w:val="center"/>
          </w:tcPr>
          <w:p w14:paraId="6E9D4947" w14:textId="77777777" w:rsidR="00094034" w:rsidRDefault="00000000" w:rsidP="00742CC3">
            <w:pPr>
              <w:pStyle w:val="ac"/>
              <w:rPr>
                <w:rFonts w:hint="eastAsia"/>
              </w:rPr>
            </w:pPr>
            <w:r>
              <w:rPr>
                <w:rFonts w:hint="eastAsia"/>
              </w:rPr>
              <w:t>5mg/m3</w:t>
            </w:r>
          </w:p>
        </w:tc>
        <w:tc>
          <w:tcPr>
            <w:tcW w:w="1404" w:type="dxa"/>
            <w:shd w:val="clear" w:color="auto" w:fill="FFFF00"/>
            <w:vAlign w:val="center"/>
          </w:tcPr>
          <w:p w14:paraId="23111823" w14:textId="77777777" w:rsidR="00094034" w:rsidRDefault="00000000" w:rsidP="00742CC3">
            <w:pPr>
              <w:pStyle w:val="ac"/>
              <w:rPr>
                <w:rFonts w:hint="eastAsia"/>
              </w:rPr>
            </w:pPr>
            <w:r>
              <w:rPr>
                <w:rFonts w:hint="eastAsia"/>
              </w:rPr>
              <w:t>参考仪器</w:t>
            </w:r>
          </w:p>
        </w:tc>
        <w:tc>
          <w:tcPr>
            <w:tcW w:w="1918" w:type="dxa"/>
            <w:shd w:val="clear" w:color="auto" w:fill="FFFF00"/>
            <w:vAlign w:val="center"/>
          </w:tcPr>
          <w:p w14:paraId="61D7CD8E" w14:textId="77777777" w:rsidR="00094034" w:rsidRDefault="00000000" w:rsidP="00742CC3">
            <w:pPr>
              <w:pStyle w:val="ac"/>
              <w:rPr>
                <w:rFonts w:hint="eastAsia"/>
              </w:rPr>
            </w:pPr>
            <w:r>
              <w:rPr>
                <w:rFonts w:hint="eastAsia"/>
              </w:rPr>
              <w:t>5.46</w:t>
            </w:r>
          </w:p>
        </w:tc>
        <w:tc>
          <w:tcPr>
            <w:tcW w:w="2289" w:type="dxa"/>
            <w:shd w:val="clear" w:color="auto" w:fill="FFFF00"/>
            <w:vAlign w:val="center"/>
          </w:tcPr>
          <w:p w14:paraId="2EF5AE6F" w14:textId="77777777" w:rsidR="00094034" w:rsidRDefault="00000000" w:rsidP="00742CC3">
            <w:pPr>
              <w:pStyle w:val="ac"/>
              <w:rPr>
                <w:rFonts w:hint="eastAsia"/>
              </w:rPr>
            </w:pPr>
            <w:r>
              <w:rPr>
                <w:rFonts w:hint="eastAsia"/>
              </w:rPr>
              <w:t>/</w:t>
            </w:r>
          </w:p>
        </w:tc>
      </w:tr>
      <w:tr w:rsidR="00094034" w14:paraId="50268978" w14:textId="77777777">
        <w:trPr>
          <w:trHeight w:val="328"/>
        </w:trPr>
        <w:tc>
          <w:tcPr>
            <w:tcW w:w="1578" w:type="dxa"/>
            <w:vMerge/>
            <w:vAlign w:val="center"/>
          </w:tcPr>
          <w:p w14:paraId="6370B643" w14:textId="77777777" w:rsidR="00094034" w:rsidRDefault="00094034" w:rsidP="00742CC3">
            <w:pPr>
              <w:pStyle w:val="ac"/>
              <w:rPr>
                <w:rFonts w:hint="eastAsia"/>
              </w:rPr>
            </w:pPr>
          </w:p>
        </w:tc>
        <w:tc>
          <w:tcPr>
            <w:tcW w:w="1316" w:type="dxa"/>
            <w:vMerge/>
            <w:vAlign w:val="center"/>
          </w:tcPr>
          <w:p w14:paraId="760D0DDD" w14:textId="77777777" w:rsidR="00094034" w:rsidRDefault="00094034" w:rsidP="00742CC3">
            <w:pPr>
              <w:pStyle w:val="ac"/>
              <w:rPr>
                <w:rFonts w:hint="eastAsia"/>
              </w:rPr>
            </w:pPr>
          </w:p>
        </w:tc>
        <w:tc>
          <w:tcPr>
            <w:tcW w:w="1404" w:type="dxa"/>
            <w:vAlign w:val="center"/>
          </w:tcPr>
          <w:p w14:paraId="6DD9DC35" w14:textId="77777777" w:rsidR="00094034" w:rsidRDefault="00000000" w:rsidP="00742CC3">
            <w:pPr>
              <w:pStyle w:val="ac"/>
              <w:rPr>
                <w:rFonts w:hint="eastAsia"/>
              </w:rPr>
            </w:pPr>
            <w:r>
              <w:rPr>
                <w:rFonts w:hint="eastAsia"/>
              </w:rPr>
              <w:t>1</w:t>
            </w:r>
          </w:p>
        </w:tc>
        <w:tc>
          <w:tcPr>
            <w:tcW w:w="1918" w:type="dxa"/>
            <w:vAlign w:val="center"/>
          </w:tcPr>
          <w:p w14:paraId="59E1C015" w14:textId="77777777" w:rsidR="00094034" w:rsidRDefault="00000000" w:rsidP="00742CC3">
            <w:pPr>
              <w:pStyle w:val="ac"/>
              <w:rPr>
                <w:rFonts w:hint="eastAsia"/>
              </w:rPr>
            </w:pPr>
            <w:r>
              <w:rPr>
                <w:rFonts w:hint="eastAsia"/>
              </w:rPr>
              <w:t>5.34</w:t>
            </w:r>
          </w:p>
        </w:tc>
        <w:tc>
          <w:tcPr>
            <w:tcW w:w="2289" w:type="dxa"/>
            <w:vAlign w:val="center"/>
          </w:tcPr>
          <w:p w14:paraId="4492D5F2" w14:textId="77777777" w:rsidR="00094034" w:rsidRDefault="00000000" w:rsidP="00742CC3">
            <w:pPr>
              <w:pStyle w:val="ac"/>
              <w:rPr>
                <w:rFonts w:hint="eastAsia"/>
              </w:rPr>
            </w:pPr>
            <w:r>
              <w:rPr>
                <w:rFonts w:hint="eastAsia"/>
              </w:rPr>
              <w:t>-2.20%</w:t>
            </w:r>
          </w:p>
        </w:tc>
      </w:tr>
      <w:tr w:rsidR="00094034" w14:paraId="2D6E8F2F" w14:textId="77777777">
        <w:trPr>
          <w:trHeight w:val="291"/>
        </w:trPr>
        <w:tc>
          <w:tcPr>
            <w:tcW w:w="1578" w:type="dxa"/>
            <w:vMerge/>
            <w:vAlign w:val="center"/>
          </w:tcPr>
          <w:p w14:paraId="7174914A" w14:textId="77777777" w:rsidR="00094034" w:rsidRDefault="00094034" w:rsidP="00742CC3">
            <w:pPr>
              <w:pStyle w:val="ac"/>
              <w:rPr>
                <w:rFonts w:hint="eastAsia"/>
              </w:rPr>
            </w:pPr>
          </w:p>
        </w:tc>
        <w:tc>
          <w:tcPr>
            <w:tcW w:w="1316" w:type="dxa"/>
            <w:vMerge/>
            <w:vAlign w:val="center"/>
          </w:tcPr>
          <w:p w14:paraId="1FF6B5C7" w14:textId="77777777" w:rsidR="00094034" w:rsidRDefault="00094034" w:rsidP="00742CC3">
            <w:pPr>
              <w:pStyle w:val="ac"/>
              <w:rPr>
                <w:rFonts w:hint="eastAsia"/>
              </w:rPr>
            </w:pPr>
          </w:p>
        </w:tc>
        <w:tc>
          <w:tcPr>
            <w:tcW w:w="1404" w:type="dxa"/>
            <w:vAlign w:val="center"/>
          </w:tcPr>
          <w:p w14:paraId="56A84A5D" w14:textId="77777777" w:rsidR="00094034" w:rsidRDefault="00000000" w:rsidP="00742CC3">
            <w:pPr>
              <w:pStyle w:val="ac"/>
              <w:rPr>
                <w:rFonts w:hint="eastAsia"/>
              </w:rPr>
            </w:pPr>
            <w:r>
              <w:rPr>
                <w:rFonts w:hint="eastAsia"/>
              </w:rPr>
              <w:t>3</w:t>
            </w:r>
          </w:p>
        </w:tc>
        <w:tc>
          <w:tcPr>
            <w:tcW w:w="1918" w:type="dxa"/>
            <w:vAlign w:val="center"/>
          </w:tcPr>
          <w:p w14:paraId="1139BF09" w14:textId="77777777" w:rsidR="00094034" w:rsidRDefault="00000000" w:rsidP="00742CC3">
            <w:pPr>
              <w:pStyle w:val="ac"/>
              <w:rPr>
                <w:rFonts w:hint="eastAsia"/>
              </w:rPr>
            </w:pPr>
            <w:r>
              <w:rPr>
                <w:rFonts w:hint="eastAsia"/>
              </w:rPr>
              <w:t>7.39</w:t>
            </w:r>
          </w:p>
        </w:tc>
        <w:tc>
          <w:tcPr>
            <w:tcW w:w="2289" w:type="dxa"/>
            <w:vAlign w:val="center"/>
          </w:tcPr>
          <w:p w14:paraId="6F62694D" w14:textId="77777777" w:rsidR="00094034" w:rsidRDefault="00000000" w:rsidP="00742CC3">
            <w:pPr>
              <w:pStyle w:val="ac"/>
              <w:rPr>
                <w:rFonts w:hint="eastAsia"/>
              </w:rPr>
            </w:pPr>
            <w:r>
              <w:rPr>
                <w:rFonts w:hint="eastAsia"/>
              </w:rPr>
              <w:t>35.35%</w:t>
            </w:r>
          </w:p>
        </w:tc>
      </w:tr>
      <w:tr w:rsidR="00094034" w14:paraId="1CBB31B0" w14:textId="77777777">
        <w:trPr>
          <w:trHeight w:val="339"/>
        </w:trPr>
        <w:tc>
          <w:tcPr>
            <w:tcW w:w="1578" w:type="dxa"/>
            <w:vMerge/>
            <w:vAlign w:val="center"/>
          </w:tcPr>
          <w:p w14:paraId="0577BA3F" w14:textId="77777777" w:rsidR="00094034" w:rsidRDefault="00094034" w:rsidP="00742CC3">
            <w:pPr>
              <w:pStyle w:val="ac"/>
              <w:rPr>
                <w:rFonts w:hint="eastAsia"/>
              </w:rPr>
            </w:pPr>
          </w:p>
        </w:tc>
        <w:tc>
          <w:tcPr>
            <w:tcW w:w="1316" w:type="dxa"/>
            <w:vMerge/>
            <w:vAlign w:val="center"/>
          </w:tcPr>
          <w:p w14:paraId="5D30B0E4" w14:textId="77777777" w:rsidR="00094034" w:rsidRDefault="00094034" w:rsidP="00742CC3">
            <w:pPr>
              <w:pStyle w:val="ac"/>
              <w:rPr>
                <w:rFonts w:hint="eastAsia"/>
              </w:rPr>
            </w:pPr>
          </w:p>
        </w:tc>
        <w:tc>
          <w:tcPr>
            <w:tcW w:w="1404" w:type="dxa"/>
            <w:shd w:val="clear" w:color="auto" w:fill="FFFF00"/>
            <w:vAlign w:val="center"/>
          </w:tcPr>
          <w:p w14:paraId="2FFF08E6" w14:textId="77777777" w:rsidR="00094034" w:rsidRDefault="00000000" w:rsidP="00742CC3">
            <w:pPr>
              <w:pStyle w:val="ac"/>
              <w:rPr>
                <w:rFonts w:hint="eastAsia"/>
              </w:rPr>
            </w:pPr>
            <w:r>
              <w:rPr>
                <w:rFonts w:hint="eastAsia"/>
              </w:rPr>
              <w:t>参考仪器</w:t>
            </w:r>
          </w:p>
        </w:tc>
        <w:tc>
          <w:tcPr>
            <w:tcW w:w="1918" w:type="dxa"/>
            <w:shd w:val="clear" w:color="auto" w:fill="FFFF00"/>
            <w:vAlign w:val="center"/>
          </w:tcPr>
          <w:p w14:paraId="660532DF" w14:textId="77777777" w:rsidR="00094034" w:rsidRDefault="00000000" w:rsidP="00742CC3">
            <w:pPr>
              <w:pStyle w:val="ac"/>
              <w:rPr>
                <w:rFonts w:hint="eastAsia"/>
              </w:rPr>
            </w:pPr>
            <w:r>
              <w:rPr>
                <w:rFonts w:hint="eastAsia"/>
              </w:rPr>
              <w:t>6.47</w:t>
            </w:r>
          </w:p>
        </w:tc>
        <w:tc>
          <w:tcPr>
            <w:tcW w:w="2289" w:type="dxa"/>
            <w:shd w:val="clear" w:color="auto" w:fill="FFFF00"/>
            <w:vAlign w:val="center"/>
          </w:tcPr>
          <w:p w14:paraId="707D949D" w14:textId="77777777" w:rsidR="00094034" w:rsidRDefault="00000000" w:rsidP="00742CC3">
            <w:pPr>
              <w:pStyle w:val="ac"/>
              <w:rPr>
                <w:rFonts w:hint="eastAsia"/>
              </w:rPr>
            </w:pPr>
            <w:r>
              <w:rPr>
                <w:rFonts w:hint="eastAsia"/>
              </w:rPr>
              <w:t>/</w:t>
            </w:r>
          </w:p>
        </w:tc>
      </w:tr>
      <w:tr w:rsidR="00094034" w14:paraId="78188258" w14:textId="77777777">
        <w:trPr>
          <w:trHeight w:val="339"/>
        </w:trPr>
        <w:tc>
          <w:tcPr>
            <w:tcW w:w="1578" w:type="dxa"/>
            <w:vMerge/>
            <w:vAlign w:val="center"/>
          </w:tcPr>
          <w:p w14:paraId="546E0115" w14:textId="77777777" w:rsidR="00094034" w:rsidRDefault="00094034" w:rsidP="00742CC3">
            <w:pPr>
              <w:pStyle w:val="ac"/>
              <w:rPr>
                <w:rFonts w:hint="eastAsia"/>
              </w:rPr>
            </w:pPr>
          </w:p>
        </w:tc>
        <w:tc>
          <w:tcPr>
            <w:tcW w:w="1316" w:type="dxa"/>
            <w:vMerge/>
            <w:vAlign w:val="center"/>
          </w:tcPr>
          <w:p w14:paraId="1B2C5BCC" w14:textId="77777777" w:rsidR="00094034" w:rsidRDefault="00094034" w:rsidP="00742CC3">
            <w:pPr>
              <w:pStyle w:val="ac"/>
              <w:rPr>
                <w:rFonts w:hint="eastAsia"/>
              </w:rPr>
            </w:pPr>
          </w:p>
        </w:tc>
        <w:tc>
          <w:tcPr>
            <w:tcW w:w="1404" w:type="dxa"/>
            <w:vAlign w:val="center"/>
          </w:tcPr>
          <w:p w14:paraId="0FCA5A6F" w14:textId="77777777" w:rsidR="00094034" w:rsidRDefault="00000000" w:rsidP="00742CC3">
            <w:pPr>
              <w:pStyle w:val="ac"/>
              <w:rPr>
                <w:rFonts w:hint="eastAsia"/>
              </w:rPr>
            </w:pPr>
            <w:r>
              <w:rPr>
                <w:rFonts w:hint="eastAsia"/>
              </w:rPr>
              <w:t>2</w:t>
            </w:r>
          </w:p>
        </w:tc>
        <w:tc>
          <w:tcPr>
            <w:tcW w:w="1918" w:type="dxa"/>
            <w:vAlign w:val="center"/>
          </w:tcPr>
          <w:p w14:paraId="60FC0613" w14:textId="77777777" w:rsidR="00094034" w:rsidRDefault="00000000" w:rsidP="00742CC3">
            <w:pPr>
              <w:pStyle w:val="ac"/>
              <w:rPr>
                <w:rFonts w:hint="eastAsia"/>
              </w:rPr>
            </w:pPr>
            <w:r>
              <w:rPr>
                <w:rFonts w:hint="eastAsia"/>
              </w:rPr>
              <w:t>5.63</w:t>
            </w:r>
          </w:p>
        </w:tc>
        <w:tc>
          <w:tcPr>
            <w:tcW w:w="2289" w:type="dxa"/>
            <w:vAlign w:val="center"/>
          </w:tcPr>
          <w:p w14:paraId="3F81F81F" w14:textId="77777777" w:rsidR="00094034" w:rsidRDefault="00000000" w:rsidP="00742CC3">
            <w:pPr>
              <w:pStyle w:val="ac"/>
              <w:rPr>
                <w:rFonts w:hint="eastAsia"/>
              </w:rPr>
            </w:pPr>
            <w:r>
              <w:rPr>
                <w:rFonts w:hint="eastAsia"/>
              </w:rPr>
              <w:t>-12.98%</w:t>
            </w:r>
          </w:p>
        </w:tc>
      </w:tr>
      <w:tr w:rsidR="00094034" w14:paraId="72ADD65E" w14:textId="77777777">
        <w:trPr>
          <w:trHeight w:val="267"/>
        </w:trPr>
        <w:tc>
          <w:tcPr>
            <w:tcW w:w="1578" w:type="dxa"/>
            <w:vMerge/>
            <w:vAlign w:val="center"/>
          </w:tcPr>
          <w:p w14:paraId="5F4D55F0" w14:textId="77777777" w:rsidR="00094034" w:rsidRDefault="00094034" w:rsidP="00742CC3">
            <w:pPr>
              <w:pStyle w:val="ac"/>
              <w:rPr>
                <w:rFonts w:hint="eastAsia"/>
              </w:rPr>
            </w:pPr>
          </w:p>
        </w:tc>
        <w:tc>
          <w:tcPr>
            <w:tcW w:w="1316" w:type="dxa"/>
            <w:vMerge/>
            <w:vAlign w:val="center"/>
          </w:tcPr>
          <w:p w14:paraId="34E6CEA6" w14:textId="77777777" w:rsidR="00094034" w:rsidRDefault="00094034" w:rsidP="00742CC3">
            <w:pPr>
              <w:pStyle w:val="ac"/>
              <w:rPr>
                <w:rFonts w:hint="eastAsia"/>
              </w:rPr>
            </w:pPr>
          </w:p>
        </w:tc>
        <w:tc>
          <w:tcPr>
            <w:tcW w:w="1404" w:type="dxa"/>
            <w:vAlign w:val="center"/>
          </w:tcPr>
          <w:p w14:paraId="159296D1" w14:textId="77777777" w:rsidR="00094034" w:rsidRDefault="00000000" w:rsidP="00742CC3">
            <w:pPr>
              <w:pStyle w:val="ac"/>
              <w:rPr>
                <w:rFonts w:hint="eastAsia"/>
              </w:rPr>
            </w:pPr>
            <w:r>
              <w:rPr>
                <w:rFonts w:hint="eastAsia"/>
              </w:rPr>
              <w:t>4</w:t>
            </w:r>
          </w:p>
        </w:tc>
        <w:tc>
          <w:tcPr>
            <w:tcW w:w="1918" w:type="dxa"/>
            <w:vAlign w:val="center"/>
          </w:tcPr>
          <w:p w14:paraId="33B0819B" w14:textId="77777777" w:rsidR="00094034" w:rsidRDefault="00000000" w:rsidP="00742CC3">
            <w:pPr>
              <w:pStyle w:val="ac"/>
              <w:rPr>
                <w:rFonts w:hint="eastAsia"/>
              </w:rPr>
            </w:pPr>
            <w:r>
              <w:rPr>
                <w:rFonts w:hint="eastAsia"/>
              </w:rPr>
              <w:t>4.87</w:t>
            </w:r>
          </w:p>
        </w:tc>
        <w:tc>
          <w:tcPr>
            <w:tcW w:w="2289" w:type="dxa"/>
            <w:vAlign w:val="center"/>
          </w:tcPr>
          <w:p w14:paraId="1568DB32" w14:textId="77777777" w:rsidR="00094034" w:rsidRDefault="00000000" w:rsidP="00742CC3">
            <w:pPr>
              <w:pStyle w:val="ac"/>
              <w:rPr>
                <w:rFonts w:hint="eastAsia"/>
              </w:rPr>
            </w:pPr>
            <w:r>
              <w:rPr>
                <w:rFonts w:hint="eastAsia"/>
              </w:rPr>
              <w:t>-24.73%</w:t>
            </w:r>
          </w:p>
        </w:tc>
      </w:tr>
      <w:tr w:rsidR="00094034" w14:paraId="3FBED33C" w14:textId="77777777">
        <w:trPr>
          <w:trHeight w:val="217"/>
        </w:trPr>
        <w:tc>
          <w:tcPr>
            <w:tcW w:w="1578" w:type="dxa"/>
            <w:vMerge/>
            <w:vAlign w:val="center"/>
          </w:tcPr>
          <w:p w14:paraId="1205BFC0" w14:textId="77777777" w:rsidR="00094034" w:rsidRDefault="00094034" w:rsidP="00742CC3">
            <w:pPr>
              <w:pStyle w:val="ac"/>
              <w:rPr>
                <w:rFonts w:hint="eastAsia"/>
              </w:rPr>
            </w:pPr>
          </w:p>
        </w:tc>
        <w:tc>
          <w:tcPr>
            <w:tcW w:w="1316" w:type="dxa"/>
            <w:vMerge/>
            <w:vAlign w:val="center"/>
          </w:tcPr>
          <w:p w14:paraId="0199D5F0" w14:textId="77777777" w:rsidR="00094034" w:rsidRDefault="00094034" w:rsidP="00742CC3">
            <w:pPr>
              <w:pStyle w:val="ac"/>
              <w:rPr>
                <w:rFonts w:hint="eastAsia"/>
              </w:rPr>
            </w:pPr>
          </w:p>
        </w:tc>
        <w:tc>
          <w:tcPr>
            <w:tcW w:w="1404" w:type="dxa"/>
            <w:vAlign w:val="center"/>
          </w:tcPr>
          <w:p w14:paraId="05B0F99C" w14:textId="77777777" w:rsidR="00094034" w:rsidRDefault="00000000" w:rsidP="00742CC3">
            <w:pPr>
              <w:pStyle w:val="ac"/>
              <w:rPr>
                <w:rFonts w:hint="eastAsia"/>
              </w:rPr>
            </w:pPr>
            <w:r>
              <w:rPr>
                <w:rFonts w:hint="eastAsia"/>
              </w:rPr>
              <w:t>5</w:t>
            </w:r>
          </w:p>
        </w:tc>
        <w:tc>
          <w:tcPr>
            <w:tcW w:w="1918" w:type="dxa"/>
            <w:vAlign w:val="center"/>
          </w:tcPr>
          <w:p w14:paraId="71648998" w14:textId="77777777" w:rsidR="00094034" w:rsidRDefault="00000000" w:rsidP="00742CC3">
            <w:pPr>
              <w:pStyle w:val="ac"/>
              <w:rPr>
                <w:rFonts w:hint="eastAsia"/>
              </w:rPr>
            </w:pPr>
            <w:r>
              <w:rPr>
                <w:rFonts w:hint="eastAsia"/>
              </w:rPr>
              <w:t>4.16</w:t>
            </w:r>
          </w:p>
        </w:tc>
        <w:tc>
          <w:tcPr>
            <w:tcW w:w="2289" w:type="dxa"/>
            <w:vAlign w:val="center"/>
          </w:tcPr>
          <w:p w14:paraId="38FF9333" w14:textId="77777777" w:rsidR="00094034" w:rsidRDefault="00000000" w:rsidP="00742CC3">
            <w:pPr>
              <w:pStyle w:val="ac"/>
              <w:rPr>
                <w:rFonts w:hint="eastAsia"/>
              </w:rPr>
            </w:pPr>
            <w:r>
              <w:rPr>
                <w:rFonts w:hint="eastAsia"/>
              </w:rPr>
              <w:t>-35.70%</w:t>
            </w:r>
          </w:p>
        </w:tc>
      </w:tr>
    </w:tbl>
    <w:p w14:paraId="16BA781F"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要求：不超过±20%</w:t>
      </w:r>
    </w:p>
    <w:p w14:paraId="0A9EF024"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高浓度淹没试验表明，参加测试仪器均不超过±20%，符合标准要求。。</w:t>
      </w:r>
    </w:p>
    <w:p w14:paraId="0E6F555F" w14:textId="77777777" w:rsidR="00094034" w:rsidRDefault="00000000" w:rsidP="00742CC3">
      <w:pPr>
        <w:pStyle w:val="ac"/>
        <w:rPr>
          <w:rFonts w:hint="eastAsia"/>
        </w:rPr>
      </w:pPr>
      <w:r>
        <w:rPr>
          <w:rFonts w:hint="eastAsia"/>
        </w:rPr>
        <w:t>表15水汽影响</w:t>
      </w:r>
    </w:p>
    <w:tbl>
      <w:tblPr>
        <w:tblW w:w="4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1716"/>
        <w:gridCol w:w="3067"/>
      </w:tblGrid>
      <w:tr w:rsidR="00094034" w14:paraId="458F88BA" w14:textId="77777777">
        <w:trPr>
          <w:trHeight w:val="560"/>
          <w:jc w:val="center"/>
        </w:trPr>
        <w:tc>
          <w:tcPr>
            <w:tcW w:w="1817" w:type="pct"/>
            <w:vAlign w:val="center"/>
          </w:tcPr>
          <w:p w14:paraId="602ACB24" w14:textId="77777777" w:rsidR="00094034" w:rsidRDefault="00094034" w:rsidP="00742CC3">
            <w:pPr>
              <w:pStyle w:val="ac"/>
              <w:rPr>
                <w:rFonts w:hint="eastAsia"/>
              </w:rPr>
            </w:pPr>
          </w:p>
        </w:tc>
        <w:tc>
          <w:tcPr>
            <w:tcW w:w="1142" w:type="pct"/>
            <w:vAlign w:val="center"/>
          </w:tcPr>
          <w:p w14:paraId="64C015AB" w14:textId="77777777" w:rsidR="00094034" w:rsidRDefault="00000000" w:rsidP="00742CC3">
            <w:pPr>
              <w:pStyle w:val="ac"/>
              <w:rPr>
                <w:rFonts w:hint="eastAsia"/>
              </w:rPr>
            </w:pPr>
            <w:r>
              <w:rPr>
                <w:rFonts w:hint="eastAsia"/>
              </w:rPr>
              <w:t>设备厂商</w:t>
            </w:r>
          </w:p>
        </w:tc>
        <w:tc>
          <w:tcPr>
            <w:tcW w:w="2041" w:type="pct"/>
            <w:vAlign w:val="center"/>
          </w:tcPr>
          <w:p w14:paraId="380C290C" w14:textId="77777777" w:rsidR="00094034" w:rsidRDefault="00000000" w:rsidP="00742CC3">
            <w:pPr>
              <w:pStyle w:val="ac"/>
              <w:rPr>
                <w:rFonts w:hint="eastAsia"/>
              </w:rPr>
            </w:pPr>
            <w:r>
              <w:rPr>
                <w:rFonts w:hint="eastAsia"/>
              </w:rPr>
              <w:t>平均值（mg/m3）</w:t>
            </w:r>
          </w:p>
        </w:tc>
      </w:tr>
      <w:tr w:rsidR="00094034" w14:paraId="18AAB529" w14:textId="77777777">
        <w:trPr>
          <w:trHeight w:hRule="exact" w:val="425"/>
          <w:jc w:val="center"/>
        </w:trPr>
        <w:tc>
          <w:tcPr>
            <w:tcW w:w="1817" w:type="pct"/>
            <w:vMerge w:val="restart"/>
            <w:vAlign w:val="center"/>
          </w:tcPr>
          <w:p w14:paraId="2E7D1978" w14:textId="77777777" w:rsidR="00094034" w:rsidRDefault="00000000" w:rsidP="00742CC3">
            <w:pPr>
              <w:pStyle w:val="ac"/>
              <w:rPr>
                <w:rFonts w:hint="eastAsia"/>
              </w:rPr>
            </w:pPr>
            <w:r>
              <w:rPr>
                <w:rFonts w:hint="eastAsia"/>
              </w:rPr>
              <w:t>油烟</w:t>
            </w:r>
          </w:p>
        </w:tc>
        <w:tc>
          <w:tcPr>
            <w:tcW w:w="1142" w:type="pct"/>
            <w:vAlign w:val="center"/>
          </w:tcPr>
          <w:p w14:paraId="1046D887" w14:textId="77777777" w:rsidR="00094034" w:rsidRDefault="00000000" w:rsidP="00742CC3">
            <w:pPr>
              <w:pStyle w:val="ac"/>
              <w:rPr>
                <w:rFonts w:hint="eastAsia"/>
              </w:rPr>
            </w:pPr>
            <w:r>
              <w:rPr>
                <w:rFonts w:hint="eastAsia"/>
              </w:rPr>
              <w:t>1</w:t>
            </w:r>
          </w:p>
        </w:tc>
        <w:tc>
          <w:tcPr>
            <w:tcW w:w="2041" w:type="pct"/>
            <w:vAlign w:val="center"/>
          </w:tcPr>
          <w:p w14:paraId="08ED74E9" w14:textId="77777777" w:rsidR="00094034" w:rsidRDefault="00000000" w:rsidP="00742CC3">
            <w:pPr>
              <w:pStyle w:val="ac"/>
              <w:rPr>
                <w:rFonts w:hint="eastAsia"/>
              </w:rPr>
            </w:pPr>
            <w:r>
              <w:rPr>
                <w:rFonts w:hint="eastAsia"/>
              </w:rPr>
              <w:t>0.016</w:t>
            </w:r>
          </w:p>
        </w:tc>
      </w:tr>
      <w:tr w:rsidR="00094034" w14:paraId="3885B82C" w14:textId="77777777">
        <w:trPr>
          <w:trHeight w:hRule="exact" w:val="425"/>
          <w:jc w:val="center"/>
        </w:trPr>
        <w:tc>
          <w:tcPr>
            <w:tcW w:w="1817" w:type="pct"/>
            <w:vMerge/>
            <w:vAlign w:val="center"/>
          </w:tcPr>
          <w:p w14:paraId="67F4A74E" w14:textId="77777777" w:rsidR="00094034" w:rsidRDefault="00094034" w:rsidP="00742CC3">
            <w:pPr>
              <w:pStyle w:val="ac"/>
              <w:rPr>
                <w:rFonts w:hint="eastAsia"/>
              </w:rPr>
            </w:pPr>
          </w:p>
        </w:tc>
        <w:tc>
          <w:tcPr>
            <w:tcW w:w="1142" w:type="pct"/>
            <w:vAlign w:val="center"/>
          </w:tcPr>
          <w:p w14:paraId="2FC34B21" w14:textId="77777777" w:rsidR="00094034" w:rsidRDefault="00000000" w:rsidP="00742CC3">
            <w:pPr>
              <w:pStyle w:val="ac"/>
              <w:rPr>
                <w:rFonts w:hint="eastAsia"/>
              </w:rPr>
            </w:pPr>
            <w:r>
              <w:rPr>
                <w:rFonts w:hint="eastAsia"/>
              </w:rPr>
              <w:t>2</w:t>
            </w:r>
          </w:p>
        </w:tc>
        <w:tc>
          <w:tcPr>
            <w:tcW w:w="2041" w:type="pct"/>
            <w:vAlign w:val="center"/>
          </w:tcPr>
          <w:p w14:paraId="72260B20" w14:textId="77777777" w:rsidR="00094034" w:rsidRDefault="00000000" w:rsidP="00742CC3">
            <w:pPr>
              <w:pStyle w:val="ac"/>
              <w:rPr>
                <w:rFonts w:hint="eastAsia"/>
              </w:rPr>
            </w:pPr>
            <w:r>
              <w:rPr>
                <w:rFonts w:hint="eastAsia"/>
              </w:rPr>
              <w:t>0.054</w:t>
            </w:r>
          </w:p>
        </w:tc>
      </w:tr>
      <w:tr w:rsidR="00094034" w14:paraId="52D7170B" w14:textId="77777777">
        <w:trPr>
          <w:trHeight w:hRule="exact" w:val="425"/>
          <w:jc w:val="center"/>
        </w:trPr>
        <w:tc>
          <w:tcPr>
            <w:tcW w:w="1817" w:type="pct"/>
            <w:vMerge/>
            <w:vAlign w:val="center"/>
          </w:tcPr>
          <w:p w14:paraId="7CF73909" w14:textId="77777777" w:rsidR="00094034" w:rsidRDefault="00094034" w:rsidP="00742CC3">
            <w:pPr>
              <w:pStyle w:val="ac"/>
              <w:rPr>
                <w:rFonts w:hint="eastAsia"/>
              </w:rPr>
            </w:pPr>
          </w:p>
        </w:tc>
        <w:tc>
          <w:tcPr>
            <w:tcW w:w="1142" w:type="pct"/>
          </w:tcPr>
          <w:p w14:paraId="3354124B" w14:textId="77777777" w:rsidR="00094034" w:rsidRDefault="00000000" w:rsidP="00742CC3">
            <w:pPr>
              <w:pStyle w:val="ac"/>
              <w:rPr>
                <w:rFonts w:hint="eastAsia"/>
              </w:rPr>
            </w:pPr>
            <w:r>
              <w:rPr>
                <w:rFonts w:hint="eastAsia"/>
              </w:rPr>
              <w:t>3</w:t>
            </w:r>
          </w:p>
        </w:tc>
        <w:tc>
          <w:tcPr>
            <w:tcW w:w="2041" w:type="pct"/>
            <w:vAlign w:val="center"/>
          </w:tcPr>
          <w:p w14:paraId="3B4EA32F" w14:textId="77777777" w:rsidR="00094034" w:rsidRDefault="00000000" w:rsidP="00742CC3">
            <w:pPr>
              <w:pStyle w:val="ac"/>
              <w:rPr>
                <w:rFonts w:hint="eastAsia"/>
              </w:rPr>
            </w:pPr>
            <w:r>
              <w:rPr>
                <w:rFonts w:hint="eastAsia"/>
              </w:rPr>
              <w:t xml:space="preserve"> 1.182</w:t>
            </w:r>
          </w:p>
        </w:tc>
      </w:tr>
      <w:tr w:rsidR="00094034" w14:paraId="01968FC2" w14:textId="77777777">
        <w:trPr>
          <w:trHeight w:hRule="exact" w:val="425"/>
          <w:jc w:val="center"/>
        </w:trPr>
        <w:tc>
          <w:tcPr>
            <w:tcW w:w="1817" w:type="pct"/>
            <w:vMerge/>
            <w:vAlign w:val="center"/>
          </w:tcPr>
          <w:p w14:paraId="209BDA17" w14:textId="77777777" w:rsidR="00094034" w:rsidRDefault="00094034" w:rsidP="00742CC3">
            <w:pPr>
              <w:pStyle w:val="ac"/>
              <w:rPr>
                <w:rFonts w:hint="eastAsia"/>
              </w:rPr>
            </w:pPr>
          </w:p>
        </w:tc>
        <w:tc>
          <w:tcPr>
            <w:tcW w:w="1142" w:type="pct"/>
            <w:vAlign w:val="center"/>
          </w:tcPr>
          <w:p w14:paraId="160A56B6" w14:textId="77777777" w:rsidR="00094034" w:rsidRDefault="00000000" w:rsidP="00742CC3">
            <w:pPr>
              <w:pStyle w:val="ac"/>
              <w:rPr>
                <w:rFonts w:hint="eastAsia"/>
              </w:rPr>
            </w:pPr>
            <w:r>
              <w:rPr>
                <w:rFonts w:hint="eastAsia"/>
              </w:rPr>
              <w:t>4</w:t>
            </w:r>
          </w:p>
        </w:tc>
        <w:tc>
          <w:tcPr>
            <w:tcW w:w="2041" w:type="pct"/>
            <w:vAlign w:val="center"/>
          </w:tcPr>
          <w:p w14:paraId="25AD39FE" w14:textId="77777777" w:rsidR="00094034" w:rsidRDefault="00000000" w:rsidP="00742CC3">
            <w:pPr>
              <w:pStyle w:val="ac"/>
              <w:rPr>
                <w:rFonts w:hint="eastAsia"/>
              </w:rPr>
            </w:pPr>
            <w:r>
              <w:rPr>
                <w:rFonts w:hint="eastAsia"/>
              </w:rPr>
              <w:t>1.108</w:t>
            </w:r>
          </w:p>
        </w:tc>
      </w:tr>
      <w:tr w:rsidR="00094034" w14:paraId="635DA5EA" w14:textId="77777777">
        <w:trPr>
          <w:trHeight w:hRule="exact" w:val="425"/>
          <w:jc w:val="center"/>
        </w:trPr>
        <w:tc>
          <w:tcPr>
            <w:tcW w:w="1817" w:type="pct"/>
            <w:vMerge/>
            <w:vAlign w:val="center"/>
          </w:tcPr>
          <w:p w14:paraId="0815A7B9" w14:textId="77777777" w:rsidR="00094034" w:rsidRDefault="00094034" w:rsidP="00742CC3">
            <w:pPr>
              <w:pStyle w:val="ac"/>
              <w:rPr>
                <w:rFonts w:hint="eastAsia"/>
              </w:rPr>
            </w:pPr>
          </w:p>
        </w:tc>
        <w:tc>
          <w:tcPr>
            <w:tcW w:w="1142" w:type="pct"/>
            <w:vAlign w:val="center"/>
          </w:tcPr>
          <w:p w14:paraId="41D0180F" w14:textId="77777777" w:rsidR="00094034" w:rsidRDefault="00000000" w:rsidP="00742CC3">
            <w:pPr>
              <w:pStyle w:val="ac"/>
              <w:rPr>
                <w:rFonts w:hint="eastAsia"/>
              </w:rPr>
            </w:pPr>
            <w:r>
              <w:rPr>
                <w:rFonts w:hint="eastAsia"/>
              </w:rPr>
              <w:t>5</w:t>
            </w:r>
          </w:p>
        </w:tc>
        <w:tc>
          <w:tcPr>
            <w:tcW w:w="2041" w:type="pct"/>
            <w:vAlign w:val="center"/>
          </w:tcPr>
          <w:p w14:paraId="6737D119" w14:textId="77777777" w:rsidR="00094034" w:rsidRDefault="00000000" w:rsidP="00742CC3">
            <w:pPr>
              <w:pStyle w:val="ac"/>
              <w:rPr>
                <w:rFonts w:hint="eastAsia"/>
              </w:rPr>
            </w:pPr>
            <w:r>
              <w:rPr>
                <w:rFonts w:hint="eastAsia"/>
              </w:rPr>
              <w:t>1.068</w:t>
            </w:r>
          </w:p>
        </w:tc>
      </w:tr>
      <w:tr w:rsidR="00094034" w14:paraId="4257D2EE" w14:textId="77777777">
        <w:trPr>
          <w:trHeight w:hRule="exact" w:val="425"/>
          <w:jc w:val="center"/>
        </w:trPr>
        <w:tc>
          <w:tcPr>
            <w:tcW w:w="1817" w:type="pct"/>
            <w:vMerge w:val="restart"/>
            <w:vAlign w:val="center"/>
          </w:tcPr>
          <w:p w14:paraId="1AB2E930" w14:textId="77777777" w:rsidR="00094034" w:rsidRDefault="00000000" w:rsidP="00742CC3">
            <w:pPr>
              <w:pStyle w:val="ac"/>
              <w:rPr>
                <w:rFonts w:hint="eastAsia"/>
              </w:rPr>
            </w:pPr>
            <w:r>
              <w:rPr>
                <w:rFonts w:hint="eastAsia"/>
              </w:rPr>
              <w:t>颗粒物</w:t>
            </w:r>
          </w:p>
        </w:tc>
        <w:tc>
          <w:tcPr>
            <w:tcW w:w="1142" w:type="pct"/>
            <w:vAlign w:val="center"/>
          </w:tcPr>
          <w:p w14:paraId="5CA88E7C" w14:textId="77777777" w:rsidR="00094034" w:rsidRDefault="00000000" w:rsidP="00742CC3">
            <w:pPr>
              <w:pStyle w:val="ac"/>
              <w:rPr>
                <w:rFonts w:hint="eastAsia"/>
              </w:rPr>
            </w:pPr>
            <w:r>
              <w:rPr>
                <w:rFonts w:hint="eastAsia"/>
              </w:rPr>
              <w:t>1</w:t>
            </w:r>
          </w:p>
        </w:tc>
        <w:tc>
          <w:tcPr>
            <w:tcW w:w="2041" w:type="pct"/>
            <w:vAlign w:val="center"/>
          </w:tcPr>
          <w:p w14:paraId="496EFFCA" w14:textId="77777777" w:rsidR="00094034" w:rsidRDefault="00000000" w:rsidP="00742CC3">
            <w:pPr>
              <w:pStyle w:val="ac"/>
              <w:rPr>
                <w:rFonts w:hint="eastAsia"/>
              </w:rPr>
            </w:pPr>
            <w:r>
              <w:rPr>
                <w:rFonts w:hint="eastAsia"/>
              </w:rPr>
              <w:t>0.054</w:t>
            </w:r>
          </w:p>
        </w:tc>
      </w:tr>
      <w:tr w:rsidR="00094034" w14:paraId="1ADA6986" w14:textId="77777777">
        <w:trPr>
          <w:trHeight w:hRule="exact" w:val="425"/>
          <w:jc w:val="center"/>
        </w:trPr>
        <w:tc>
          <w:tcPr>
            <w:tcW w:w="1817" w:type="pct"/>
            <w:vMerge/>
            <w:vAlign w:val="center"/>
          </w:tcPr>
          <w:p w14:paraId="3E43D98A" w14:textId="77777777" w:rsidR="00094034" w:rsidRDefault="00094034" w:rsidP="00742CC3">
            <w:pPr>
              <w:pStyle w:val="ac"/>
              <w:rPr>
                <w:rFonts w:hint="eastAsia"/>
              </w:rPr>
            </w:pPr>
          </w:p>
        </w:tc>
        <w:tc>
          <w:tcPr>
            <w:tcW w:w="1142" w:type="pct"/>
            <w:vAlign w:val="center"/>
          </w:tcPr>
          <w:p w14:paraId="4BFD5E3F" w14:textId="77777777" w:rsidR="00094034" w:rsidRDefault="00000000" w:rsidP="00742CC3">
            <w:pPr>
              <w:pStyle w:val="ac"/>
              <w:rPr>
                <w:rFonts w:hint="eastAsia"/>
              </w:rPr>
            </w:pPr>
            <w:r w:rsidRPr="00742CC3">
              <w:rPr>
                <w:rFonts w:hint="eastAsia"/>
              </w:rPr>
              <w:t>2</w:t>
            </w:r>
          </w:p>
        </w:tc>
        <w:tc>
          <w:tcPr>
            <w:tcW w:w="2041" w:type="pct"/>
            <w:vAlign w:val="center"/>
          </w:tcPr>
          <w:p w14:paraId="52156BEE" w14:textId="77777777" w:rsidR="00094034" w:rsidRDefault="00000000" w:rsidP="00742CC3">
            <w:pPr>
              <w:pStyle w:val="ac"/>
              <w:rPr>
                <w:rFonts w:hint="eastAsia"/>
              </w:rPr>
            </w:pPr>
            <w:r>
              <w:rPr>
                <w:rFonts w:hint="eastAsia"/>
              </w:rPr>
              <w:t>0.834</w:t>
            </w:r>
          </w:p>
        </w:tc>
      </w:tr>
      <w:tr w:rsidR="00094034" w14:paraId="58D92F43" w14:textId="77777777">
        <w:trPr>
          <w:trHeight w:hRule="exact" w:val="425"/>
          <w:jc w:val="center"/>
        </w:trPr>
        <w:tc>
          <w:tcPr>
            <w:tcW w:w="1817" w:type="pct"/>
            <w:vMerge/>
            <w:vAlign w:val="center"/>
          </w:tcPr>
          <w:p w14:paraId="480EE7E9" w14:textId="77777777" w:rsidR="00094034" w:rsidRDefault="00094034" w:rsidP="00742CC3">
            <w:pPr>
              <w:pStyle w:val="ac"/>
              <w:rPr>
                <w:rFonts w:hint="eastAsia"/>
              </w:rPr>
            </w:pPr>
          </w:p>
        </w:tc>
        <w:tc>
          <w:tcPr>
            <w:tcW w:w="1142" w:type="pct"/>
          </w:tcPr>
          <w:p w14:paraId="7EE3B241" w14:textId="77777777" w:rsidR="00094034" w:rsidRDefault="00000000" w:rsidP="00742CC3">
            <w:pPr>
              <w:pStyle w:val="ac"/>
              <w:rPr>
                <w:rFonts w:hint="eastAsia"/>
              </w:rPr>
            </w:pPr>
            <w:r>
              <w:rPr>
                <w:rFonts w:hint="eastAsia"/>
              </w:rPr>
              <w:t>3</w:t>
            </w:r>
          </w:p>
        </w:tc>
        <w:tc>
          <w:tcPr>
            <w:tcW w:w="2041" w:type="pct"/>
            <w:vAlign w:val="center"/>
          </w:tcPr>
          <w:p w14:paraId="003A54F0" w14:textId="77777777" w:rsidR="00094034" w:rsidRDefault="00000000" w:rsidP="00742CC3">
            <w:pPr>
              <w:pStyle w:val="ac"/>
              <w:rPr>
                <w:rFonts w:hint="eastAsia"/>
              </w:rPr>
            </w:pPr>
            <w:r>
              <w:rPr>
                <w:rFonts w:hint="eastAsia"/>
              </w:rPr>
              <w:t xml:space="preserve"> 3.106</w:t>
            </w:r>
          </w:p>
        </w:tc>
      </w:tr>
      <w:tr w:rsidR="00094034" w14:paraId="0F7FF373" w14:textId="77777777">
        <w:trPr>
          <w:trHeight w:hRule="exact" w:val="425"/>
          <w:jc w:val="center"/>
        </w:trPr>
        <w:tc>
          <w:tcPr>
            <w:tcW w:w="1817" w:type="pct"/>
            <w:vMerge/>
            <w:vAlign w:val="center"/>
          </w:tcPr>
          <w:p w14:paraId="1EF70066" w14:textId="77777777" w:rsidR="00094034" w:rsidRDefault="00094034" w:rsidP="00742CC3">
            <w:pPr>
              <w:pStyle w:val="ac"/>
              <w:rPr>
                <w:rFonts w:hint="eastAsia"/>
              </w:rPr>
            </w:pPr>
          </w:p>
        </w:tc>
        <w:tc>
          <w:tcPr>
            <w:tcW w:w="1142" w:type="pct"/>
            <w:vAlign w:val="center"/>
          </w:tcPr>
          <w:p w14:paraId="04D70FDE" w14:textId="77777777" w:rsidR="00094034" w:rsidRDefault="00000000" w:rsidP="00742CC3">
            <w:pPr>
              <w:pStyle w:val="ac"/>
              <w:rPr>
                <w:rFonts w:hint="eastAsia"/>
              </w:rPr>
            </w:pPr>
            <w:r>
              <w:rPr>
                <w:rFonts w:hint="eastAsia"/>
              </w:rPr>
              <w:t>4</w:t>
            </w:r>
          </w:p>
        </w:tc>
        <w:tc>
          <w:tcPr>
            <w:tcW w:w="2041" w:type="pct"/>
            <w:vAlign w:val="center"/>
          </w:tcPr>
          <w:p w14:paraId="49885DB6" w14:textId="77777777" w:rsidR="00094034" w:rsidRDefault="00000000" w:rsidP="00742CC3">
            <w:pPr>
              <w:pStyle w:val="ac"/>
              <w:rPr>
                <w:rFonts w:hint="eastAsia"/>
              </w:rPr>
            </w:pPr>
            <w:r>
              <w:rPr>
                <w:rFonts w:hint="eastAsia"/>
              </w:rPr>
              <w:t>3.186</w:t>
            </w:r>
          </w:p>
        </w:tc>
      </w:tr>
      <w:tr w:rsidR="00094034" w14:paraId="6F91D960" w14:textId="77777777">
        <w:trPr>
          <w:trHeight w:hRule="exact" w:val="425"/>
          <w:jc w:val="center"/>
        </w:trPr>
        <w:tc>
          <w:tcPr>
            <w:tcW w:w="1817" w:type="pct"/>
            <w:vMerge/>
            <w:vAlign w:val="center"/>
          </w:tcPr>
          <w:p w14:paraId="3AAB3E92" w14:textId="77777777" w:rsidR="00094034" w:rsidRDefault="00094034" w:rsidP="00742CC3">
            <w:pPr>
              <w:pStyle w:val="ac"/>
              <w:rPr>
                <w:rFonts w:hint="eastAsia"/>
              </w:rPr>
            </w:pPr>
          </w:p>
        </w:tc>
        <w:tc>
          <w:tcPr>
            <w:tcW w:w="1142" w:type="pct"/>
            <w:vAlign w:val="center"/>
          </w:tcPr>
          <w:p w14:paraId="568C3EEE" w14:textId="77777777" w:rsidR="00094034" w:rsidRDefault="00000000" w:rsidP="00742CC3">
            <w:pPr>
              <w:pStyle w:val="ac"/>
              <w:rPr>
                <w:rFonts w:hint="eastAsia"/>
              </w:rPr>
            </w:pPr>
            <w:r>
              <w:rPr>
                <w:rFonts w:hint="eastAsia"/>
              </w:rPr>
              <w:t>5</w:t>
            </w:r>
          </w:p>
        </w:tc>
        <w:tc>
          <w:tcPr>
            <w:tcW w:w="2041" w:type="pct"/>
            <w:vAlign w:val="center"/>
          </w:tcPr>
          <w:p w14:paraId="5D570CC5" w14:textId="77777777" w:rsidR="00094034" w:rsidRDefault="00000000" w:rsidP="00742CC3">
            <w:pPr>
              <w:pStyle w:val="ac"/>
              <w:rPr>
                <w:rFonts w:hint="eastAsia"/>
              </w:rPr>
            </w:pPr>
            <w:r>
              <w:rPr>
                <w:rFonts w:hint="eastAsia"/>
              </w:rPr>
              <w:t>1.348</w:t>
            </w:r>
          </w:p>
        </w:tc>
      </w:tr>
    </w:tbl>
    <w:p w14:paraId="494D22B9" w14:textId="77777777" w:rsidR="00094034" w:rsidRDefault="00000000">
      <w:pPr>
        <w:spacing w:line="360" w:lineRule="auto"/>
        <w:ind w:firstLine="560"/>
        <w:rPr>
          <w:rFonts w:asciiTheme="majorEastAsia" w:eastAsiaTheme="majorEastAsia" w:hAnsiTheme="majorEastAsia" w:hint="eastAsia"/>
          <w:szCs w:val="21"/>
        </w:rPr>
      </w:pPr>
      <w:r>
        <w:rPr>
          <w:rFonts w:asciiTheme="majorEastAsia" w:eastAsiaTheme="majorEastAsia" w:hAnsiTheme="majorEastAsia" w:hint="eastAsia"/>
          <w:szCs w:val="21"/>
        </w:rPr>
        <w:t>要求：≤</w:t>
      </w:r>
      <w:r>
        <w:rPr>
          <w:rFonts w:asciiTheme="majorEastAsia" w:eastAsiaTheme="majorEastAsia" w:hAnsiTheme="majorEastAsia"/>
          <w:szCs w:val="21"/>
        </w:rPr>
        <w:t>0.2mg/</w:t>
      </w:r>
      <w:r>
        <w:rPr>
          <w:rFonts w:asciiTheme="majorEastAsia" w:eastAsiaTheme="majorEastAsia" w:hAnsiTheme="majorEastAsia" w:hint="eastAsia"/>
          <w:szCs w:val="21"/>
        </w:rPr>
        <w:t>m³</w:t>
      </w:r>
    </w:p>
    <w:p w14:paraId="2F39EDF2" w14:textId="77777777" w:rsidR="00094034" w:rsidRDefault="00000000" w:rsidP="00742CC3">
      <w:pPr>
        <w:pStyle w:val="ac"/>
        <w:rPr>
          <w:rFonts w:hint="eastAsia"/>
        </w:rPr>
      </w:pPr>
      <w:r>
        <w:rPr>
          <w:rFonts w:hint="eastAsia"/>
        </w:rPr>
        <w:t>水汽影响</w:t>
      </w:r>
    </w:p>
    <w:tbl>
      <w:tblPr>
        <w:tblW w:w="4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1716"/>
        <w:gridCol w:w="3067"/>
      </w:tblGrid>
      <w:tr w:rsidR="00094034" w14:paraId="1408C1ED" w14:textId="77777777">
        <w:trPr>
          <w:trHeight w:val="560"/>
          <w:jc w:val="center"/>
        </w:trPr>
        <w:tc>
          <w:tcPr>
            <w:tcW w:w="1817" w:type="pct"/>
            <w:vAlign w:val="center"/>
          </w:tcPr>
          <w:p w14:paraId="5C6A357A" w14:textId="77777777" w:rsidR="00094034" w:rsidRDefault="00094034" w:rsidP="00742CC3">
            <w:pPr>
              <w:pStyle w:val="ac"/>
              <w:rPr>
                <w:rFonts w:hint="eastAsia"/>
              </w:rPr>
            </w:pPr>
          </w:p>
        </w:tc>
        <w:tc>
          <w:tcPr>
            <w:tcW w:w="1142" w:type="pct"/>
            <w:vAlign w:val="center"/>
          </w:tcPr>
          <w:p w14:paraId="71927DFB" w14:textId="77777777" w:rsidR="00094034" w:rsidRDefault="00000000" w:rsidP="00742CC3">
            <w:pPr>
              <w:pStyle w:val="ac"/>
              <w:rPr>
                <w:rFonts w:hint="eastAsia"/>
              </w:rPr>
            </w:pPr>
            <w:r>
              <w:rPr>
                <w:rFonts w:hint="eastAsia"/>
              </w:rPr>
              <w:t>设备厂商</w:t>
            </w:r>
          </w:p>
        </w:tc>
        <w:tc>
          <w:tcPr>
            <w:tcW w:w="2041" w:type="pct"/>
            <w:vAlign w:val="center"/>
          </w:tcPr>
          <w:p w14:paraId="1BF7FF45" w14:textId="77777777" w:rsidR="00094034" w:rsidRDefault="00000000" w:rsidP="00742CC3">
            <w:pPr>
              <w:pStyle w:val="ac"/>
              <w:rPr>
                <w:rFonts w:hint="eastAsia"/>
              </w:rPr>
            </w:pPr>
            <w:r>
              <w:rPr>
                <w:rFonts w:hint="eastAsia"/>
              </w:rPr>
              <w:t>平均值（mg/m3）</w:t>
            </w:r>
          </w:p>
        </w:tc>
      </w:tr>
      <w:tr w:rsidR="00094034" w14:paraId="0301BE8D" w14:textId="77777777">
        <w:trPr>
          <w:trHeight w:hRule="exact" w:val="425"/>
          <w:jc w:val="center"/>
        </w:trPr>
        <w:tc>
          <w:tcPr>
            <w:tcW w:w="1817" w:type="pct"/>
            <w:vMerge w:val="restart"/>
            <w:vAlign w:val="center"/>
          </w:tcPr>
          <w:p w14:paraId="2F045BFE" w14:textId="77777777" w:rsidR="00094034" w:rsidRDefault="00000000" w:rsidP="00742CC3">
            <w:pPr>
              <w:pStyle w:val="ac"/>
              <w:rPr>
                <w:rFonts w:hint="eastAsia"/>
              </w:rPr>
            </w:pPr>
            <w:r>
              <w:rPr>
                <w:rFonts w:hint="eastAsia"/>
              </w:rPr>
              <w:t>油烟</w:t>
            </w:r>
          </w:p>
        </w:tc>
        <w:tc>
          <w:tcPr>
            <w:tcW w:w="1142" w:type="pct"/>
            <w:vAlign w:val="center"/>
          </w:tcPr>
          <w:p w14:paraId="5549F045" w14:textId="77777777" w:rsidR="00094034" w:rsidRDefault="00000000" w:rsidP="00742CC3">
            <w:pPr>
              <w:pStyle w:val="ac"/>
              <w:rPr>
                <w:rFonts w:hint="eastAsia"/>
              </w:rPr>
            </w:pPr>
            <w:r>
              <w:rPr>
                <w:rFonts w:hint="eastAsia"/>
              </w:rPr>
              <w:t>1</w:t>
            </w:r>
          </w:p>
        </w:tc>
        <w:tc>
          <w:tcPr>
            <w:tcW w:w="2041" w:type="pct"/>
            <w:vAlign w:val="center"/>
          </w:tcPr>
          <w:p w14:paraId="10936E78" w14:textId="77777777" w:rsidR="00094034" w:rsidRDefault="00000000" w:rsidP="00742CC3">
            <w:pPr>
              <w:pStyle w:val="ac"/>
              <w:rPr>
                <w:rFonts w:hint="eastAsia"/>
              </w:rPr>
            </w:pPr>
            <w:r>
              <w:rPr>
                <w:rFonts w:hint="eastAsia"/>
              </w:rPr>
              <w:t>0.016</w:t>
            </w:r>
          </w:p>
        </w:tc>
      </w:tr>
      <w:tr w:rsidR="00094034" w14:paraId="6A66D225" w14:textId="77777777">
        <w:trPr>
          <w:trHeight w:hRule="exact" w:val="425"/>
          <w:jc w:val="center"/>
        </w:trPr>
        <w:tc>
          <w:tcPr>
            <w:tcW w:w="1817" w:type="pct"/>
            <w:vMerge/>
            <w:vAlign w:val="center"/>
          </w:tcPr>
          <w:p w14:paraId="74F7C93D" w14:textId="77777777" w:rsidR="00094034" w:rsidRDefault="00094034" w:rsidP="00742CC3">
            <w:pPr>
              <w:pStyle w:val="ac"/>
              <w:rPr>
                <w:rFonts w:hint="eastAsia"/>
              </w:rPr>
            </w:pPr>
          </w:p>
        </w:tc>
        <w:tc>
          <w:tcPr>
            <w:tcW w:w="1142" w:type="pct"/>
            <w:vAlign w:val="center"/>
          </w:tcPr>
          <w:p w14:paraId="60F014D5" w14:textId="77777777" w:rsidR="00094034" w:rsidRDefault="00000000" w:rsidP="00742CC3">
            <w:pPr>
              <w:pStyle w:val="ac"/>
              <w:rPr>
                <w:rFonts w:hint="eastAsia"/>
              </w:rPr>
            </w:pPr>
            <w:r>
              <w:rPr>
                <w:rFonts w:hint="eastAsia"/>
              </w:rPr>
              <w:t>2</w:t>
            </w:r>
          </w:p>
        </w:tc>
        <w:tc>
          <w:tcPr>
            <w:tcW w:w="2041" w:type="pct"/>
            <w:vAlign w:val="center"/>
          </w:tcPr>
          <w:p w14:paraId="755C20E4" w14:textId="77777777" w:rsidR="00094034" w:rsidRDefault="00000000" w:rsidP="00742CC3">
            <w:pPr>
              <w:pStyle w:val="ac"/>
              <w:rPr>
                <w:rFonts w:hint="eastAsia"/>
              </w:rPr>
            </w:pPr>
            <w:r>
              <w:rPr>
                <w:rFonts w:hint="eastAsia"/>
              </w:rPr>
              <w:t>0.054</w:t>
            </w:r>
          </w:p>
        </w:tc>
      </w:tr>
      <w:tr w:rsidR="00094034" w14:paraId="7B38D4B0" w14:textId="77777777">
        <w:trPr>
          <w:trHeight w:hRule="exact" w:val="425"/>
          <w:jc w:val="center"/>
        </w:trPr>
        <w:tc>
          <w:tcPr>
            <w:tcW w:w="1817" w:type="pct"/>
            <w:vMerge/>
            <w:vAlign w:val="center"/>
          </w:tcPr>
          <w:p w14:paraId="0598D772" w14:textId="77777777" w:rsidR="00094034" w:rsidRDefault="00094034" w:rsidP="00742CC3">
            <w:pPr>
              <w:pStyle w:val="ac"/>
              <w:rPr>
                <w:rFonts w:hint="eastAsia"/>
              </w:rPr>
            </w:pPr>
          </w:p>
        </w:tc>
        <w:tc>
          <w:tcPr>
            <w:tcW w:w="1142" w:type="pct"/>
          </w:tcPr>
          <w:p w14:paraId="538DE982" w14:textId="77777777" w:rsidR="00094034" w:rsidRDefault="00000000" w:rsidP="00742CC3">
            <w:pPr>
              <w:pStyle w:val="ac"/>
              <w:rPr>
                <w:rFonts w:hint="eastAsia"/>
              </w:rPr>
            </w:pPr>
            <w:r>
              <w:rPr>
                <w:rFonts w:hint="eastAsia"/>
              </w:rPr>
              <w:t>3</w:t>
            </w:r>
          </w:p>
        </w:tc>
        <w:tc>
          <w:tcPr>
            <w:tcW w:w="2041" w:type="pct"/>
            <w:vAlign w:val="center"/>
          </w:tcPr>
          <w:p w14:paraId="064409CE" w14:textId="77777777" w:rsidR="00094034" w:rsidRDefault="00000000" w:rsidP="00742CC3">
            <w:pPr>
              <w:pStyle w:val="ac"/>
              <w:rPr>
                <w:rFonts w:hint="eastAsia"/>
              </w:rPr>
            </w:pPr>
            <w:r>
              <w:rPr>
                <w:rFonts w:hint="eastAsia"/>
              </w:rPr>
              <w:t xml:space="preserve"> 1.182</w:t>
            </w:r>
          </w:p>
        </w:tc>
      </w:tr>
      <w:tr w:rsidR="00094034" w14:paraId="30A63EFD" w14:textId="77777777">
        <w:trPr>
          <w:trHeight w:hRule="exact" w:val="425"/>
          <w:jc w:val="center"/>
        </w:trPr>
        <w:tc>
          <w:tcPr>
            <w:tcW w:w="1817" w:type="pct"/>
            <w:vMerge/>
            <w:vAlign w:val="center"/>
          </w:tcPr>
          <w:p w14:paraId="4E444E43" w14:textId="77777777" w:rsidR="00094034" w:rsidRDefault="00094034" w:rsidP="00742CC3">
            <w:pPr>
              <w:pStyle w:val="ac"/>
              <w:rPr>
                <w:rFonts w:hint="eastAsia"/>
              </w:rPr>
            </w:pPr>
          </w:p>
        </w:tc>
        <w:tc>
          <w:tcPr>
            <w:tcW w:w="1142" w:type="pct"/>
            <w:vAlign w:val="center"/>
          </w:tcPr>
          <w:p w14:paraId="2D7B3097" w14:textId="77777777" w:rsidR="00094034" w:rsidRDefault="00000000" w:rsidP="00742CC3">
            <w:pPr>
              <w:pStyle w:val="ac"/>
              <w:rPr>
                <w:rFonts w:hint="eastAsia"/>
              </w:rPr>
            </w:pPr>
            <w:r>
              <w:rPr>
                <w:rFonts w:hint="eastAsia"/>
              </w:rPr>
              <w:t>4</w:t>
            </w:r>
          </w:p>
        </w:tc>
        <w:tc>
          <w:tcPr>
            <w:tcW w:w="2041" w:type="pct"/>
            <w:vAlign w:val="center"/>
          </w:tcPr>
          <w:p w14:paraId="6A03D8EF" w14:textId="77777777" w:rsidR="00094034" w:rsidRDefault="00000000" w:rsidP="00742CC3">
            <w:pPr>
              <w:pStyle w:val="ac"/>
              <w:rPr>
                <w:rFonts w:hint="eastAsia"/>
              </w:rPr>
            </w:pPr>
            <w:r>
              <w:rPr>
                <w:rFonts w:hint="eastAsia"/>
              </w:rPr>
              <w:t>1.108</w:t>
            </w:r>
          </w:p>
        </w:tc>
      </w:tr>
      <w:tr w:rsidR="00094034" w14:paraId="13A9E2D7" w14:textId="77777777">
        <w:trPr>
          <w:trHeight w:hRule="exact" w:val="425"/>
          <w:jc w:val="center"/>
        </w:trPr>
        <w:tc>
          <w:tcPr>
            <w:tcW w:w="1817" w:type="pct"/>
            <w:vMerge/>
            <w:vAlign w:val="center"/>
          </w:tcPr>
          <w:p w14:paraId="74CB348B" w14:textId="77777777" w:rsidR="00094034" w:rsidRDefault="00094034" w:rsidP="00742CC3">
            <w:pPr>
              <w:pStyle w:val="ac"/>
              <w:rPr>
                <w:rFonts w:hint="eastAsia"/>
              </w:rPr>
            </w:pPr>
          </w:p>
        </w:tc>
        <w:tc>
          <w:tcPr>
            <w:tcW w:w="1142" w:type="pct"/>
            <w:vAlign w:val="center"/>
          </w:tcPr>
          <w:p w14:paraId="32ABA106" w14:textId="77777777" w:rsidR="00094034" w:rsidRDefault="00000000" w:rsidP="00742CC3">
            <w:pPr>
              <w:pStyle w:val="ac"/>
              <w:rPr>
                <w:rFonts w:hint="eastAsia"/>
              </w:rPr>
            </w:pPr>
            <w:r>
              <w:rPr>
                <w:rFonts w:hint="eastAsia"/>
              </w:rPr>
              <w:t>5</w:t>
            </w:r>
          </w:p>
        </w:tc>
        <w:tc>
          <w:tcPr>
            <w:tcW w:w="2041" w:type="pct"/>
            <w:vAlign w:val="center"/>
          </w:tcPr>
          <w:p w14:paraId="7D4D25A3" w14:textId="77777777" w:rsidR="00094034" w:rsidRDefault="00000000" w:rsidP="00742CC3">
            <w:pPr>
              <w:pStyle w:val="ac"/>
              <w:rPr>
                <w:rFonts w:hint="eastAsia"/>
              </w:rPr>
            </w:pPr>
            <w:r>
              <w:rPr>
                <w:rFonts w:hint="eastAsia"/>
              </w:rPr>
              <w:t>1.068</w:t>
            </w:r>
          </w:p>
        </w:tc>
      </w:tr>
      <w:tr w:rsidR="00094034" w14:paraId="1F0FF3F9" w14:textId="77777777">
        <w:trPr>
          <w:trHeight w:hRule="exact" w:val="425"/>
          <w:jc w:val="center"/>
        </w:trPr>
        <w:tc>
          <w:tcPr>
            <w:tcW w:w="1817" w:type="pct"/>
            <w:vMerge w:val="restart"/>
            <w:vAlign w:val="center"/>
          </w:tcPr>
          <w:p w14:paraId="7770190F" w14:textId="77777777" w:rsidR="00094034" w:rsidRDefault="00000000" w:rsidP="00742CC3">
            <w:pPr>
              <w:pStyle w:val="ac"/>
              <w:rPr>
                <w:rFonts w:hint="eastAsia"/>
              </w:rPr>
            </w:pPr>
            <w:r>
              <w:rPr>
                <w:rFonts w:hint="eastAsia"/>
              </w:rPr>
              <w:t>颗粒物</w:t>
            </w:r>
          </w:p>
        </w:tc>
        <w:tc>
          <w:tcPr>
            <w:tcW w:w="1142" w:type="pct"/>
            <w:vAlign w:val="center"/>
          </w:tcPr>
          <w:p w14:paraId="227E552E" w14:textId="77777777" w:rsidR="00094034" w:rsidRDefault="00000000" w:rsidP="00742CC3">
            <w:pPr>
              <w:pStyle w:val="ac"/>
              <w:rPr>
                <w:rFonts w:hint="eastAsia"/>
              </w:rPr>
            </w:pPr>
            <w:r>
              <w:rPr>
                <w:rFonts w:hint="eastAsia"/>
              </w:rPr>
              <w:t>1</w:t>
            </w:r>
          </w:p>
        </w:tc>
        <w:tc>
          <w:tcPr>
            <w:tcW w:w="2041" w:type="pct"/>
            <w:vAlign w:val="center"/>
          </w:tcPr>
          <w:p w14:paraId="63967B95" w14:textId="77777777" w:rsidR="00094034" w:rsidRDefault="00000000" w:rsidP="00742CC3">
            <w:pPr>
              <w:pStyle w:val="ac"/>
              <w:rPr>
                <w:rFonts w:hint="eastAsia"/>
              </w:rPr>
            </w:pPr>
            <w:r>
              <w:rPr>
                <w:rFonts w:hint="eastAsia"/>
              </w:rPr>
              <w:t>0.054</w:t>
            </w:r>
          </w:p>
        </w:tc>
      </w:tr>
      <w:tr w:rsidR="00094034" w14:paraId="2C11C373" w14:textId="77777777">
        <w:trPr>
          <w:trHeight w:hRule="exact" w:val="425"/>
          <w:jc w:val="center"/>
        </w:trPr>
        <w:tc>
          <w:tcPr>
            <w:tcW w:w="1817" w:type="pct"/>
            <w:vMerge/>
            <w:vAlign w:val="center"/>
          </w:tcPr>
          <w:p w14:paraId="420F6010" w14:textId="77777777" w:rsidR="00094034" w:rsidRDefault="00094034" w:rsidP="00742CC3">
            <w:pPr>
              <w:pStyle w:val="ac"/>
              <w:rPr>
                <w:rFonts w:hint="eastAsia"/>
              </w:rPr>
            </w:pPr>
          </w:p>
        </w:tc>
        <w:tc>
          <w:tcPr>
            <w:tcW w:w="1142" w:type="pct"/>
            <w:vAlign w:val="center"/>
          </w:tcPr>
          <w:p w14:paraId="62E52006" w14:textId="77777777" w:rsidR="00094034" w:rsidRDefault="00000000" w:rsidP="00742CC3">
            <w:pPr>
              <w:pStyle w:val="ac"/>
              <w:rPr>
                <w:rFonts w:hint="eastAsia"/>
              </w:rPr>
            </w:pPr>
            <w:r>
              <w:rPr>
                <w:rFonts w:hint="eastAsia"/>
              </w:rPr>
              <w:t>2</w:t>
            </w:r>
          </w:p>
        </w:tc>
        <w:tc>
          <w:tcPr>
            <w:tcW w:w="2041" w:type="pct"/>
            <w:vAlign w:val="center"/>
          </w:tcPr>
          <w:p w14:paraId="0B0A7AB2" w14:textId="77777777" w:rsidR="00094034" w:rsidRDefault="00000000" w:rsidP="00742CC3">
            <w:pPr>
              <w:pStyle w:val="ac"/>
              <w:rPr>
                <w:rFonts w:hint="eastAsia"/>
              </w:rPr>
            </w:pPr>
            <w:r>
              <w:rPr>
                <w:rFonts w:hint="eastAsia"/>
              </w:rPr>
              <w:t>0.834</w:t>
            </w:r>
          </w:p>
        </w:tc>
      </w:tr>
      <w:tr w:rsidR="00094034" w14:paraId="6B159053" w14:textId="77777777">
        <w:trPr>
          <w:trHeight w:hRule="exact" w:val="425"/>
          <w:jc w:val="center"/>
        </w:trPr>
        <w:tc>
          <w:tcPr>
            <w:tcW w:w="1817" w:type="pct"/>
            <w:vMerge/>
            <w:vAlign w:val="center"/>
          </w:tcPr>
          <w:p w14:paraId="4083E2E0" w14:textId="77777777" w:rsidR="00094034" w:rsidRDefault="00094034" w:rsidP="00742CC3">
            <w:pPr>
              <w:pStyle w:val="ac"/>
              <w:rPr>
                <w:rFonts w:hint="eastAsia"/>
              </w:rPr>
            </w:pPr>
          </w:p>
        </w:tc>
        <w:tc>
          <w:tcPr>
            <w:tcW w:w="1142" w:type="pct"/>
          </w:tcPr>
          <w:p w14:paraId="1EA38BE3" w14:textId="77777777" w:rsidR="00094034" w:rsidRDefault="00000000" w:rsidP="00742CC3">
            <w:pPr>
              <w:pStyle w:val="ac"/>
              <w:rPr>
                <w:rFonts w:hint="eastAsia"/>
              </w:rPr>
            </w:pPr>
            <w:r>
              <w:rPr>
                <w:rFonts w:hint="eastAsia"/>
              </w:rPr>
              <w:t>3</w:t>
            </w:r>
          </w:p>
        </w:tc>
        <w:tc>
          <w:tcPr>
            <w:tcW w:w="2041" w:type="pct"/>
            <w:vAlign w:val="center"/>
          </w:tcPr>
          <w:p w14:paraId="033A3525" w14:textId="77777777" w:rsidR="00094034" w:rsidRDefault="00000000" w:rsidP="00742CC3">
            <w:pPr>
              <w:pStyle w:val="ac"/>
              <w:rPr>
                <w:rFonts w:hint="eastAsia"/>
              </w:rPr>
            </w:pPr>
            <w:r>
              <w:rPr>
                <w:rFonts w:hint="eastAsia"/>
              </w:rPr>
              <w:t xml:space="preserve"> 3.106</w:t>
            </w:r>
          </w:p>
        </w:tc>
      </w:tr>
      <w:tr w:rsidR="00094034" w14:paraId="184284CD" w14:textId="77777777">
        <w:trPr>
          <w:trHeight w:hRule="exact" w:val="425"/>
          <w:jc w:val="center"/>
        </w:trPr>
        <w:tc>
          <w:tcPr>
            <w:tcW w:w="1817" w:type="pct"/>
            <w:vMerge/>
            <w:vAlign w:val="center"/>
          </w:tcPr>
          <w:p w14:paraId="354EAFB9" w14:textId="77777777" w:rsidR="00094034" w:rsidRDefault="00094034" w:rsidP="00742CC3">
            <w:pPr>
              <w:pStyle w:val="ac"/>
              <w:rPr>
                <w:rFonts w:hint="eastAsia"/>
              </w:rPr>
            </w:pPr>
          </w:p>
        </w:tc>
        <w:tc>
          <w:tcPr>
            <w:tcW w:w="1142" w:type="pct"/>
            <w:vAlign w:val="center"/>
          </w:tcPr>
          <w:p w14:paraId="26B82872" w14:textId="77777777" w:rsidR="00094034" w:rsidRDefault="00000000" w:rsidP="00742CC3">
            <w:pPr>
              <w:pStyle w:val="ac"/>
              <w:rPr>
                <w:rFonts w:hint="eastAsia"/>
              </w:rPr>
            </w:pPr>
            <w:r>
              <w:rPr>
                <w:rFonts w:hint="eastAsia"/>
              </w:rPr>
              <w:t>4</w:t>
            </w:r>
          </w:p>
        </w:tc>
        <w:tc>
          <w:tcPr>
            <w:tcW w:w="2041" w:type="pct"/>
            <w:vAlign w:val="center"/>
          </w:tcPr>
          <w:p w14:paraId="01F467E6" w14:textId="77777777" w:rsidR="00094034" w:rsidRDefault="00000000" w:rsidP="00742CC3">
            <w:pPr>
              <w:pStyle w:val="ac"/>
              <w:rPr>
                <w:rFonts w:hint="eastAsia"/>
              </w:rPr>
            </w:pPr>
            <w:r>
              <w:rPr>
                <w:rFonts w:hint="eastAsia"/>
              </w:rPr>
              <w:t>3.186</w:t>
            </w:r>
          </w:p>
        </w:tc>
      </w:tr>
      <w:tr w:rsidR="00094034" w14:paraId="07FD80CC" w14:textId="77777777">
        <w:trPr>
          <w:trHeight w:hRule="exact" w:val="425"/>
          <w:jc w:val="center"/>
        </w:trPr>
        <w:tc>
          <w:tcPr>
            <w:tcW w:w="1817" w:type="pct"/>
            <w:vMerge/>
            <w:vAlign w:val="center"/>
          </w:tcPr>
          <w:p w14:paraId="4AED6053" w14:textId="77777777" w:rsidR="00094034" w:rsidRDefault="00094034" w:rsidP="00742CC3">
            <w:pPr>
              <w:pStyle w:val="ac"/>
              <w:rPr>
                <w:rFonts w:hint="eastAsia"/>
              </w:rPr>
            </w:pPr>
          </w:p>
        </w:tc>
        <w:tc>
          <w:tcPr>
            <w:tcW w:w="1142" w:type="pct"/>
            <w:vAlign w:val="center"/>
          </w:tcPr>
          <w:p w14:paraId="0F95354F" w14:textId="77777777" w:rsidR="00094034" w:rsidRDefault="00000000" w:rsidP="00742CC3">
            <w:pPr>
              <w:pStyle w:val="ac"/>
              <w:rPr>
                <w:rFonts w:hint="eastAsia"/>
              </w:rPr>
            </w:pPr>
            <w:r>
              <w:rPr>
                <w:rFonts w:hint="eastAsia"/>
              </w:rPr>
              <w:t>5</w:t>
            </w:r>
          </w:p>
        </w:tc>
        <w:tc>
          <w:tcPr>
            <w:tcW w:w="2041" w:type="pct"/>
            <w:vAlign w:val="center"/>
          </w:tcPr>
          <w:p w14:paraId="6A2AD36A" w14:textId="77777777" w:rsidR="00094034" w:rsidRDefault="00000000" w:rsidP="00742CC3">
            <w:pPr>
              <w:pStyle w:val="ac"/>
              <w:rPr>
                <w:rFonts w:hint="eastAsia"/>
              </w:rPr>
            </w:pPr>
            <w:r>
              <w:rPr>
                <w:rFonts w:hint="eastAsia"/>
              </w:rPr>
              <w:t>1.348</w:t>
            </w:r>
          </w:p>
        </w:tc>
      </w:tr>
    </w:tbl>
    <w:p w14:paraId="2342CC2E" w14:textId="77777777" w:rsidR="00094034" w:rsidRDefault="00000000">
      <w:pPr>
        <w:spacing w:line="360" w:lineRule="auto"/>
        <w:ind w:firstLine="560"/>
        <w:rPr>
          <w:rFonts w:asciiTheme="majorEastAsia" w:eastAsiaTheme="majorEastAsia" w:hAnsiTheme="majorEastAsia" w:hint="eastAsia"/>
          <w:sz w:val="24"/>
        </w:rPr>
      </w:pPr>
      <w:r>
        <w:rPr>
          <w:rFonts w:asciiTheme="majorEastAsia" w:eastAsiaTheme="majorEastAsia" w:hAnsiTheme="majorEastAsia" w:hint="eastAsia"/>
          <w:sz w:val="24"/>
        </w:rPr>
        <w:t>油烟水汽影响试验表明，厂家1和2的浓度值未超过0.2mg/m</w:t>
      </w:r>
      <w:r>
        <w:rPr>
          <w:rFonts w:asciiTheme="majorEastAsia" w:eastAsiaTheme="majorEastAsia" w:hAnsiTheme="majorEastAsia" w:hint="eastAsia"/>
          <w:sz w:val="24"/>
          <w:vertAlign w:val="superscript"/>
        </w:rPr>
        <w:t>3</w:t>
      </w:r>
      <w:r>
        <w:rPr>
          <w:rFonts w:asciiTheme="majorEastAsia" w:eastAsiaTheme="majorEastAsia" w:hAnsiTheme="majorEastAsia" w:hint="eastAsia"/>
          <w:sz w:val="24"/>
        </w:rPr>
        <w:t>，符合标准要求。厂家3、4、5均超出0.2mg/m</w:t>
      </w:r>
      <w:r>
        <w:rPr>
          <w:rFonts w:asciiTheme="majorEastAsia" w:eastAsiaTheme="majorEastAsia" w:hAnsiTheme="majorEastAsia" w:hint="eastAsia"/>
          <w:sz w:val="24"/>
          <w:vertAlign w:val="superscript"/>
        </w:rPr>
        <w:t>3</w:t>
      </w:r>
      <w:r>
        <w:rPr>
          <w:rFonts w:asciiTheme="majorEastAsia" w:eastAsiaTheme="majorEastAsia" w:hAnsiTheme="majorEastAsia" w:hint="eastAsia"/>
          <w:sz w:val="24"/>
        </w:rPr>
        <w:t>，可能是是水汽在检测通道中也是以颗粒状存在，造成检测仪数据输出，因此建议检测通道进气口前加上加热装置，消除水汽。</w:t>
      </w:r>
    </w:p>
    <w:p w14:paraId="549FD1C8"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四、标准中涉及专利的情况</w:t>
      </w:r>
    </w:p>
    <w:p w14:paraId="123FD407"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本文件没有涉及任何专利。</w:t>
      </w:r>
    </w:p>
    <w:p w14:paraId="35B5D960" w14:textId="77777777" w:rsidR="00094034" w:rsidRDefault="00000000">
      <w:pPr>
        <w:spacing w:line="360" w:lineRule="auto"/>
        <w:rPr>
          <w:rFonts w:asciiTheme="majorEastAsia" w:eastAsiaTheme="majorEastAsia" w:hAnsiTheme="majorEastAsia" w:cs="黑体" w:hint="eastAsia"/>
          <w:sz w:val="24"/>
        </w:rPr>
      </w:pPr>
      <w:bookmarkStart w:id="15" w:name="_Toc163724767"/>
      <w:bookmarkStart w:id="16" w:name="_Toc14923"/>
      <w:r>
        <w:rPr>
          <w:rFonts w:asciiTheme="majorEastAsia" w:eastAsiaTheme="majorEastAsia" w:hAnsiTheme="majorEastAsia" w:cs="黑体" w:hint="eastAsia"/>
          <w:sz w:val="24"/>
        </w:rPr>
        <w:t>五、预期达到社会效益、对产业发展的作用等情况</w:t>
      </w:r>
      <w:bookmarkEnd w:id="15"/>
      <w:bookmarkEnd w:id="16"/>
    </w:p>
    <w:p w14:paraId="1C6100A2" w14:textId="77777777" w:rsidR="00094034" w:rsidRDefault="00000000">
      <w:pPr>
        <w:spacing w:line="360" w:lineRule="auto"/>
        <w:ind w:firstLineChars="100" w:firstLine="240"/>
        <w:rPr>
          <w:rFonts w:asciiTheme="majorEastAsia" w:eastAsiaTheme="majorEastAsia" w:hAnsiTheme="majorEastAsia" w:hint="eastAsia"/>
          <w:sz w:val="24"/>
        </w:rPr>
      </w:pPr>
      <w:r>
        <w:rPr>
          <w:rFonts w:asciiTheme="majorEastAsia" w:eastAsiaTheme="majorEastAsia" w:hAnsiTheme="majorEastAsia" w:hint="eastAsia"/>
          <w:sz w:val="24"/>
        </w:rPr>
        <w:t>1 有利于设备监管</w:t>
      </w:r>
    </w:p>
    <w:p w14:paraId="506208A3"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一是把好设备入口关。在线设备经油烟发生测试系统检测合格后方可推向市场，禁止不合格产品接入在线监管平台。二是把好运</w:t>
      </w:r>
      <w:proofErr w:type="gramStart"/>
      <w:r>
        <w:rPr>
          <w:rFonts w:asciiTheme="majorEastAsia" w:eastAsiaTheme="majorEastAsia" w:hAnsiTheme="majorEastAsia" w:cs="宋体" w:hint="eastAsia"/>
          <w:sz w:val="24"/>
        </w:rPr>
        <w:t>维管理</w:t>
      </w:r>
      <w:proofErr w:type="gramEnd"/>
      <w:r>
        <w:rPr>
          <w:rFonts w:asciiTheme="majorEastAsia" w:eastAsiaTheme="majorEastAsia" w:hAnsiTheme="majorEastAsia" w:cs="宋体" w:hint="eastAsia"/>
          <w:sz w:val="24"/>
        </w:rPr>
        <w:t>关。抽检上线设备，</w:t>
      </w:r>
      <w:r>
        <w:rPr>
          <w:rFonts w:asciiTheme="majorEastAsia" w:eastAsiaTheme="majorEastAsia" w:hAnsiTheme="majorEastAsia" w:cs="宋体" w:hint="eastAsia"/>
          <w:sz w:val="24"/>
        </w:rPr>
        <w:lastRenderedPageBreak/>
        <w:t>使用参考设备校验，要求校验不合格的产品完成整改。三是把好市场退出关。因性能不符合本标准技术要求，频繁出现数据异常的在线设备，在线监管平台可作下线处理，问题严重的，平台不再接受设备入网。</w:t>
      </w:r>
    </w:p>
    <w:p w14:paraId="5BF2417C" w14:textId="77777777" w:rsidR="00094034" w:rsidRDefault="00000000">
      <w:pPr>
        <w:spacing w:line="360" w:lineRule="auto"/>
        <w:ind w:firstLineChars="100" w:firstLine="240"/>
        <w:rPr>
          <w:rFonts w:asciiTheme="majorEastAsia" w:eastAsiaTheme="majorEastAsia" w:hAnsiTheme="majorEastAsia" w:cs="黑体" w:hint="eastAsia"/>
          <w:sz w:val="24"/>
        </w:rPr>
      </w:pPr>
      <w:r>
        <w:rPr>
          <w:rFonts w:asciiTheme="majorEastAsia" w:eastAsiaTheme="majorEastAsia" w:hAnsiTheme="majorEastAsia" w:cs="黑体" w:hint="eastAsia"/>
          <w:sz w:val="24"/>
        </w:rPr>
        <w:t>2 有利于计量建标</w:t>
      </w:r>
    </w:p>
    <w:p w14:paraId="77C71DF1" w14:textId="77777777" w:rsidR="00094034" w:rsidRDefault="00000000">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可参考本标准制订油烟颗粒物在线监测仪校准规范，将重复性和示值误差作为重要计量特性指标。第三方计量机构建立计量标准，实施计量校准。</w:t>
      </w:r>
    </w:p>
    <w:p w14:paraId="2CD495F8" w14:textId="77777777" w:rsidR="00094034" w:rsidRDefault="00000000">
      <w:pPr>
        <w:spacing w:line="360" w:lineRule="auto"/>
        <w:ind w:firstLineChars="100" w:firstLine="240"/>
        <w:rPr>
          <w:rFonts w:asciiTheme="majorEastAsia" w:eastAsiaTheme="majorEastAsia" w:hAnsiTheme="majorEastAsia" w:cs="宋体" w:hint="eastAsia"/>
          <w:sz w:val="24"/>
        </w:rPr>
      </w:pPr>
      <w:r>
        <w:rPr>
          <w:rFonts w:asciiTheme="majorEastAsia" w:eastAsiaTheme="majorEastAsia" w:hAnsiTheme="majorEastAsia" w:cs="黑体" w:hint="eastAsia"/>
          <w:sz w:val="24"/>
        </w:rPr>
        <w:t>3 有利于产业发展</w:t>
      </w:r>
    </w:p>
    <w:p w14:paraId="728A28D4" w14:textId="77777777" w:rsidR="00094034" w:rsidRDefault="00000000">
      <w:pPr>
        <w:spacing w:line="360" w:lineRule="auto"/>
        <w:rPr>
          <w:rFonts w:asciiTheme="majorEastAsia" w:eastAsiaTheme="majorEastAsia" w:hAnsiTheme="majorEastAsia" w:hint="eastAsia"/>
          <w:sz w:val="24"/>
        </w:rPr>
      </w:pPr>
      <w:r>
        <w:rPr>
          <w:rFonts w:asciiTheme="majorEastAsia" w:eastAsiaTheme="majorEastAsia" w:hAnsiTheme="majorEastAsia" w:cs="宋体" w:hint="eastAsia"/>
          <w:sz w:val="24"/>
        </w:rPr>
        <w:t xml:space="preserve">    通过统一仪器技术要求，能提升产品和数据质量，从而规范市场，有序竞争，推动净化</w:t>
      </w:r>
      <w:r>
        <w:rPr>
          <w:rFonts w:asciiTheme="majorEastAsia" w:eastAsiaTheme="majorEastAsia" w:hAnsiTheme="majorEastAsia" w:hint="eastAsia"/>
          <w:sz w:val="24"/>
        </w:rPr>
        <w:t>设备市场发展，促进油烟监测、治理和计量行业健康发展。</w:t>
      </w:r>
    </w:p>
    <w:p w14:paraId="394D2FC6" w14:textId="77777777" w:rsidR="00094034" w:rsidRDefault="00000000">
      <w:pPr>
        <w:spacing w:line="360" w:lineRule="auto"/>
        <w:rPr>
          <w:rFonts w:asciiTheme="majorEastAsia" w:eastAsiaTheme="majorEastAsia" w:hAnsiTheme="majorEastAsia" w:cs="黑体" w:hint="eastAsia"/>
          <w:sz w:val="24"/>
        </w:rPr>
      </w:pPr>
      <w:bookmarkStart w:id="17" w:name="_Toc482707220"/>
      <w:bookmarkStart w:id="18" w:name="_Toc163724768"/>
      <w:r>
        <w:rPr>
          <w:rFonts w:asciiTheme="majorEastAsia" w:eastAsiaTheme="majorEastAsia" w:hAnsiTheme="majorEastAsia" w:cs="黑体" w:hint="eastAsia"/>
          <w:sz w:val="24"/>
        </w:rPr>
        <w:t>六、与国际、国外标准对比情况</w:t>
      </w:r>
      <w:bookmarkEnd w:id="17"/>
      <w:bookmarkEnd w:id="18"/>
    </w:p>
    <w:p w14:paraId="612E81FD"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1相关标准</w:t>
      </w:r>
    </w:p>
    <w:p w14:paraId="503DB68D"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国外油烟控制主要侧重于消防控制，尚未发现有关油烟废气管治方面的标准或技术规范。国内有关标准（规范）如下。</w:t>
      </w:r>
    </w:p>
    <w:p w14:paraId="6A9131C9"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1.1  排放标准</w:t>
      </w:r>
    </w:p>
    <w:p w14:paraId="5F2FE1CE"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有关油烟废气排放标准计11项（见表9）。从类别看，1项为国家强制性排放标准，其余10项为地方标准，其中8项为强制性标准，2项为推荐性标准。从控制指标看，均包含油烟，7项规定非甲烷总烃，1项规定颗粒物，5项规定臭气，5项规定去除效率。从限值看，国标油烟为2mg/m³，地标大多为1mg/m³，颗粒物（北京地标）为5mg/m</w:t>
      </w:r>
      <w:r>
        <w:rPr>
          <w:rFonts w:asciiTheme="majorEastAsia" w:eastAsiaTheme="majorEastAsia" w:hAnsiTheme="majorEastAsia" w:cs="宋体" w:hint="eastAsia"/>
          <w:sz w:val="24"/>
          <w:vertAlign w:val="superscript"/>
        </w:rPr>
        <w:t>3</w:t>
      </w:r>
      <w:r>
        <w:rPr>
          <w:rFonts w:asciiTheme="majorEastAsia" w:eastAsiaTheme="majorEastAsia" w:hAnsiTheme="majorEastAsia" w:cs="宋体" w:hint="eastAsia"/>
          <w:sz w:val="24"/>
        </w:rPr>
        <w:t>，非甲烷总烃大多为10mg/m³，臭气限值不一，去除效率大多为90%。</w:t>
      </w:r>
    </w:p>
    <w:p w14:paraId="4AF68A5B" w14:textId="77777777" w:rsidR="00094034" w:rsidRDefault="00000000">
      <w:pPr>
        <w:spacing w:line="360" w:lineRule="auto"/>
        <w:jc w:val="center"/>
        <w:rPr>
          <w:rFonts w:asciiTheme="majorEastAsia" w:eastAsiaTheme="majorEastAsia" w:hAnsiTheme="majorEastAsia" w:hint="eastAsia"/>
          <w:sz w:val="24"/>
        </w:rPr>
      </w:pPr>
      <w:r>
        <w:rPr>
          <w:rFonts w:asciiTheme="majorEastAsia" w:eastAsiaTheme="majorEastAsia" w:hAnsiTheme="majorEastAsia" w:hint="eastAsia"/>
          <w:sz w:val="24"/>
        </w:rPr>
        <w:t>表9  现行餐饮业大气污染物排放标准</w:t>
      </w:r>
    </w:p>
    <w:p w14:paraId="6F269BD3" w14:textId="77777777" w:rsidR="00094034" w:rsidRDefault="00000000">
      <w:pPr>
        <w:spacing w:line="360" w:lineRule="auto"/>
        <w:jc w:val="left"/>
        <w:rPr>
          <w:rFonts w:asciiTheme="majorEastAsia" w:eastAsiaTheme="majorEastAsia" w:hAnsiTheme="majorEastAsia" w:cs="宋体" w:hint="eastAsia"/>
          <w:sz w:val="24"/>
        </w:rPr>
      </w:pPr>
      <w:r>
        <w:rPr>
          <w:rFonts w:asciiTheme="majorEastAsia" w:eastAsiaTheme="majorEastAsia" w:hAnsiTheme="majorEastAsia"/>
          <w:noProof/>
          <w:sz w:val="24"/>
        </w:rPr>
        <w:lastRenderedPageBreak/>
        <w:drawing>
          <wp:inline distT="0" distB="0" distL="114300" distR="114300" wp14:anchorId="1BDED65F" wp14:editId="4ED2B6C1">
            <wp:extent cx="5267960" cy="4139565"/>
            <wp:effectExtent l="0" t="0" r="5080" b="5715"/>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图片 367"/>
                    <pic:cNvPicPr>
                      <a:picLocks noChangeAspect="1"/>
                    </pic:cNvPicPr>
                  </pic:nvPicPr>
                  <pic:blipFill>
                    <a:blip r:embed="rId21"/>
                    <a:stretch>
                      <a:fillRect/>
                    </a:stretch>
                  </pic:blipFill>
                  <pic:spPr>
                    <a:xfrm>
                      <a:off x="0" y="0"/>
                      <a:ext cx="5267960" cy="4139565"/>
                    </a:xfrm>
                    <a:prstGeom prst="rect">
                      <a:avLst/>
                    </a:prstGeom>
                    <a:noFill/>
                    <a:ln>
                      <a:noFill/>
                    </a:ln>
                  </pic:spPr>
                </pic:pic>
              </a:graphicData>
            </a:graphic>
          </wp:inline>
        </w:drawing>
      </w:r>
    </w:p>
    <w:p w14:paraId="3734D488"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1.2  方法标准</w:t>
      </w:r>
    </w:p>
    <w:p w14:paraId="00CA2806"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油烟、颗粒物实验室方法标准主要有5项（见表10）。该5项标准可作为油烟颗粒物在线监测的参比方法。</w:t>
      </w:r>
    </w:p>
    <w:p w14:paraId="666E0DA6" w14:textId="77777777" w:rsidR="00094034" w:rsidRDefault="00000000">
      <w:pPr>
        <w:spacing w:line="360" w:lineRule="auto"/>
        <w:jc w:val="center"/>
        <w:rPr>
          <w:rFonts w:asciiTheme="majorEastAsia" w:eastAsiaTheme="majorEastAsia" w:hAnsiTheme="majorEastAsia" w:hint="eastAsia"/>
          <w:sz w:val="24"/>
        </w:rPr>
      </w:pPr>
      <w:r>
        <w:rPr>
          <w:rFonts w:asciiTheme="majorEastAsia" w:eastAsiaTheme="majorEastAsia" w:hAnsiTheme="majorEastAsia" w:hint="eastAsia"/>
          <w:sz w:val="24"/>
        </w:rPr>
        <w:t>表10  餐饮油烟、颗粒物实验室方法标准</w:t>
      </w:r>
    </w:p>
    <w:tbl>
      <w:tblPr>
        <w:tblStyle w:val="a9"/>
        <w:tblW w:w="8192" w:type="dxa"/>
        <w:tblLook w:val="04A0" w:firstRow="1" w:lastRow="0" w:firstColumn="1" w:lastColumn="0" w:noHBand="0" w:noVBand="1"/>
      </w:tblPr>
      <w:tblGrid>
        <w:gridCol w:w="728"/>
        <w:gridCol w:w="853"/>
        <w:gridCol w:w="5200"/>
        <w:gridCol w:w="1411"/>
      </w:tblGrid>
      <w:tr w:rsidR="00094034" w14:paraId="10326449" w14:textId="77777777">
        <w:trPr>
          <w:trHeight w:val="310"/>
        </w:trPr>
        <w:tc>
          <w:tcPr>
            <w:tcW w:w="728" w:type="dxa"/>
            <w:vAlign w:val="center"/>
          </w:tcPr>
          <w:p w14:paraId="270E7E3C"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序号</w:t>
            </w:r>
          </w:p>
        </w:tc>
        <w:tc>
          <w:tcPr>
            <w:tcW w:w="853" w:type="dxa"/>
            <w:vAlign w:val="center"/>
          </w:tcPr>
          <w:p w14:paraId="720D9C6F"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地方</w:t>
            </w:r>
          </w:p>
        </w:tc>
        <w:tc>
          <w:tcPr>
            <w:tcW w:w="5200" w:type="dxa"/>
            <w:vAlign w:val="center"/>
          </w:tcPr>
          <w:p w14:paraId="0F3749F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标准名称</w:t>
            </w:r>
          </w:p>
        </w:tc>
        <w:tc>
          <w:tcPr>
            <w:tcW w:w="1411" w:type="dxa"/>
            <w:vAlign w:val="center"/>
          </w:tcPr>
          <w:p w14:paraId="571D0AC1"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污染物</w:t>
            </w:r>
          </w:p>
        </w:tc>
      </w:tr>
      <w:tr w:rsidR="00094034" w14:paraId="06471166" w14:textId="77777777">
        <w:tc>
          <w:tcPr>
            <w:tcW w:w="728" w:type="dxa"/>
            <w:vAlign w:val="center"/>
          </w:tcPr>
          <w:p w14:paraId="783DF3A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1</w:t>
            </w:r>
          </w:p>
        </w:tc>
        <w:tc>
          <w:tcPr>
            <w:tcW w:w="853" w:type="dxa"/>
            <w:vAlign w:val="center"/>
          </w:tcPr>
          <w:p w14:paraId="7BB90AC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全国</w:t>
            </w:r>
          </w:p>
        </w:tc>
        <w:tc>
          <w:tcPr>
            <w:tcW w:w="5200" w:type="dxa"/>
            <w:vAlign w:val="center"/>
          </w:tcPr>
          <w:p w14:paraId="04E0896F"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饮食业油烟排放标准（试行）</w:t>
            </w:r>
          </w:p>
          <w:p w14:paraId="35051FE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（GB 18483-2001)附录A 饮食业油烟采样方法及分析方法 金属滤筒吸收和红外分光光度法测定油烟的采样及分析方法</w:t>
            </w:r>
          </w:p>
        </w:tc>
        <w:tc>
          <w:tcPr>
            <w:tcW w:w="1411" w:type="dxa"/>
            <w:vAlign w:val="center"/>
          </w:tcPr>
          <w:p w14:paraId="20A5735A"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w:t>
            </w:r>
          </w:p>
        </w:tc>
      </w:tr>
      <w:tr w:rsidR="00094034" w14:paraId="351BF1E2" w14:textId="77777777">
        <w:trPr>
          <w:trHeight w:val="622"/>
        </w:trPr>
        <w:tc>
          <w:tcPr>
            <w:tcW w:w="728" w:type="dxa"/>
            <w:vAlign w:val="center"/>
          </w:tcPr>
          <w:p w14:paraId="6F733764"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2</w:t>
            </w:r>
          </w:p>
        </w:tc>
        <w:tc>
          <w:tcPr>
            <w:tcW w:w="853" w:type="dxa"/>
            <w:vAlign w:val="center"/>
          </w:tcPr>
          <w:p w14:paraId="3220E027"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全国</w:t>
            </w:r>
          </w:p>
        </w:tc>
        <w:tc>
          <w:tcPr>
            <w:tcW w:w="5200" w:type="dxa"/>
            <w:vAlign w:val="center"/>
          </w:tcPr>
          <w:p w14:paraId="32441681"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固定污染源废气 油烟</w:t>
            </w:r>
            <w:proofErr w:type="gramStart"/>
            <w:r>
              <w:rPr>
                <w:rFonts w:asciiTheme="majorEastAsia" w:eastAsiaTheme="majorEastAsia" w:hAnsiTheme="majorEastAsia" w:hint="eastAsia"/>
                <w:szCs w:val="21"/>
              </w:rPr>
              <w:t>和油雾的</w:t>
            </w:r>
            <w:proofErr w:type="gramEnd"/>
            <w:r>
              <w:rPr>
                <w:rFonts w:asciiTheme="majorEastAsia" w:eastAsiaTheme="majorEastAsia" w:hAnsiTheme="majorEastAsia" w:hint="eastAsia"/>
                <w:szCs w:val="21"/>
              </w:rPr>
              <w:t>测定 红外分光光度法</w:t>
            </w:r>
          </w:p>
          <w:p w14:paraId="792020A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（HJ 1077—2019）</w:t>
            </w:r>
          </w:p>
        </w:tc>
        <w:tc>
          <w:tcPr>
            <w:tcW w:w="1411" w:type="dxa"/>
            <w:vAlign w:val="center"/>
          </w:tcPr>
          <w:p w14:paraId="6090FBE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w:t>
            </w:r>
          </w:p>
        </w:tc>
      </w:tr>
      <w:tr w:rsidR="00094034" w14:paraId="403AFC55" w14:textId="77777777">
        <w:trPr>
          <w:trHeight w:val="542"/>
        </w:trPr>
        <w:tc>
          <w:tcPr>
            <w:tcW w:w="728" w:type="dxa"/>
            <w:vAlign w:val="center"/>
          </w:tcPr>
          <w:p w14:paraId="0C1B2A58"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3</w:t>
            </w:r>
          </w:p>
        </w:tc>
        <w:tc>
          <w:tcPr>
            <w:tcW w:w="853" w:type="dxa"/>
            <w:vAlign w:val="center"/>
          </w:tcPr>
          <w:p w14:paraId="0934312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全国</w:t>
            </w:r>
          </w:p>
        </w:tc>
        <w:tc>
          <w:tcPr>
            <w:tcW w:w="5200" w:type="dxa"/>
            <w:vAlign w:val="center"/>
          </w:tcPr>
          <w:p w14:paraId="324DC3EA"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固定污染源废气 低浓度颗粒物的测定 重量法</w:t>
            </w:r>
          </w:p>
          <w:p w14:paraId="6C61A45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（HJ 836-2017）</w:t>
            </w:r>
          </w:p>
        </w:tc>
        <w:tc>
          <w:tcPr>
            <w:tcW w:w="1411" w:type="dxa"/>
            <w:vAlign w:val="center"/>
          </w:tcPr>
          <w:p w14:paraId="78E9E67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颗粒物</w:t>
            </w:r>
          </w:p>
        </w:tc>
      </w:tr>
      <w:tr w:rsidR="00094034" w14:paraId="07F25C76" w14:textId="77777777">
        <w:tc>
          <w:tcPr>
            <w:tcW w:w="728" w:type="dxa"/>
            <w:vAlign w:val="center"/>
          </w:tcPr>
          <w:p w14:paraId="31EF1D0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4</w:t>
            </w:r>
          </w:p>
        </w:tc>
        <w:tc>
          <w:tcPr>
            <w:tcW w:w="853" w:type="dxa"/>
            <w:vAlign w:val="center"/>
          </w:tcPr>
          <w:p w14:paraId="3D394858"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全国</w:t>
            </w:r>
          </w:p>
        </w:tc>
        <w:tc>
          <w:tcPr>
            <w:tcW w:w="5200" w:type="dxa"/>
            <w:vAlign w:val="center"/>
          </w:tcPr>
          <w:p w14:paraId="599937A7"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固定污染源排气中颗粒物测定与气态污染物采样方法</w:t>
            </w:r>
          </w:p>
          <w:p w14:paraId="65F8D9C8"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（GB/T 16157-1996）</w:t>
            </w:r>
          </w:p>
        </w:tc>
        <w:tc>
          <w:tcPr>
            <w:tcW w:w="1411" w:type="dxa"/>
            <w:vAlign w:val="center"/>
          </w:tcPr>
          <w:p w14:paraId="16C7BEE0"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颗粒物</w:t>
            </w:r>
          </w:p>
        </w:tc>
      </w:tr>
      <w:tr w:rsidR="00094034" w14:paraId="669BDBD4" w14:textId="77777777">
        <w:tc>
          <w:tcPr>
            <w:tcW w:w="728" w:type="dxa"/>
            <w:vAlign w:val="center"/>
          </w:tcPr>
          <w:p w14:paraId="77D1E079"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5</w:t>
            </w:r>
          </w:p>
        </w:tc>
        <w:tc>
          <w:tcPr>
            <w:tcW w:w="853" w:type="dxa"/>
            <w:vAlign w:val="center"/>
          </w:tcPr>
          <w:p w14:paraId="499D7858"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北京</w:t>
            </w:r>
          </w:p>
        </w:tc>
        <w:tc>
          <w:tcPr>
            <w:tcW w:w="5200" w:type="dxa"/>
            <w:vAlign w:val="center"/>
          </w:tcPr>
          <w:p w14:paraId="391EA18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餐饮业 颗粒物的测定 手工称重法</w:t>
            </w:r>
          </w:p>
          <w:p w14:paraId="6726D46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（DB11/T 1485—2017）</w:t>
            </w:r>
          </w:p>
        </w:tc>
        <w:tc>
          <w:tcPr>
            <w:tcW w:w="1411" w:type="dxa"/>
            <w:vAlign w:val="center"/>
          </w:tcPr>
          <w:p w14:paraId="57AEC3D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颗粒物</w:t>
            </w:r>
          </w:p>
        </w:tc>
      </w:tr>
    </w:tbl>
    <w:p w14:paraId="044D5439"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1.3  在线监测标准（规范）</w:t>
      </w:r>
    </w:p>
    <w:p w14:paraId="25A4BA04" w14:textId="77777777" w:rsidR="00094034" w:rsidRDefault="00000000">
      <w:pPr>
        <w:spacing w:line="360" w:lineRule="auto"/>
        <w:ind w:firstLine="560"/>
        <w:rPr>
          <w:rFonts w:asciiTheme="majorEastAsia" w:eastAsiaTheme="majorEastAsia" w:hAnsiTheme="majorEastAsia" w:cs="宋体" w:hint="eastAsia"/>
          <w:sz w:val="24"/>
        </w:rPr>
      </w:pPr>
      <w:r>
        <w:rPr>
          <w:rFonts w:asciiTheme="majorEastAsia" w:eastAsiaTheme="majorEastAsia" w:hAnsiTheme="majorEastAsia" w:cs="宋体" w:hint="eastAsia"/>
          <w:sz w:val="24"/>
        </w:rPr>
        <w:t>油烟在线监测相关标准或技术规范计12项（见表11）。从类别看，地方标准1项，认证规范1项，其余10项为团体标准，尚无国家标准或行业标准。从性能指标看，12项标准（规范）均将油烟作为监测项目，其中7项规定颗粒物，6项规定非甲烷总烃。设备标准（规范）共3项，中环协（北京）认证中心制订1项，另2项由本标准主要起草单位负责编制（其中1项为计量团体标准），其余9项侧重油烟在线监测系统技术规范。本标准编制过程中，参考了上述有关标准（规范）的规定内容。</w:t>
      </w:r>
    </w:p>
    <w:p w14:paraId="3B8104D8" w14:textId="77777777" w:rsidR="00094034" w:rsidRDefault="00000000">
      <w:pPr>
        <w:spacing w:line="360" w:lineRule="auto"/>
        <w:jc w:val="center"/>
        <w:rPr>
          <w:rFonts w:asciiTheme="majorEastAsia" w:eastAsiaTheme="majorEastAsia" w:hAnsiTheme="majorEastAsia" w:hint="eastAsia"/>
          <w:sz w:val="24"/>
        </w:rPr>
      </w:pPr>
      <w:r>
        <w:rPr>
          <w:rFonts w:asciiTheme="majorEastAsia" w:eastAsiaTheme="majorEastAsia" w:hAnsiTheme="majorEastAsia" w:hint="eastAsia"/>
          <w:sz w:val="24"/>
        </w:rPr>
        <w:t>表11  餐饮油烟在线监测标准（规范）</w:t>
      </w:r>
    </w:p>
    <w:tbl>
      <w:tblPr>
        <w:tblStyle w:val="a9"/>
        <w:tblW w:w="8699" w:type="dxa"/>
        <w:tblInd w:w="-88" w:type="dxa"/>
        <w:tblLook w:val="04A0" w:firstRow="1" w:lastRow="0" w:firstColumn="1" w:lastColumn="0" w:noHBand="0" w:noVBand="1"/>
      </w:tblPr>
      <w:tblGrid>
        <w:gridCol w:w="690"/>
        <w:gridCol w:w="703"/>
        <w:gridCol w:w="3334"/>
        <w:gridCol w:w="1224"/>
        <w:gridCol w:w="2748"/>
      </w:tblGrid>
      <w:tr w:rsidR="00094034" w14:paraId="7133FBA4" w14:textId="77777777">
        <w:trPr>
          <w:trHeight w:val="364"/>
        </w:trPr>
        <w:tc>
          <w:tcPr>
            <w:tcW w:w="690" w:type="dxa"/>
            <w:vAlign w:val="center"/>
          </w:tcPr>
          <w:p w14:paraId="5FA3A0B1"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序号</w:t>
            </w:r>
          </w:p>
        </w:tc>
        <w:tc>
          <w:tcPr>
            <w:tcW w:w="703" w:type="dxa"/>
            <w:vAlign w:val="center"/>
          </w:tcPr>
          <w:p w14:paraId="2358986B"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地区</w:t>
            </w:r>
          </w:p>
        </w:tc>
        <w:tc>
          <w:tcPr>
            <w:tcW w:w="3334" w:type="dxa"/>
            <w:vAlign w:val="center"/>
          </w:tcPr>
          <w:p w14:paraId="18DC0CDA"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名称</w:t>
            </w:r>
          </w:p>
        </w:tc>
        <w:tc>
          <w:tcPr>
            <w:tcW w:w="1224" w:type="dxa"/>
            <w:vAlign w:val="center"/>
          </w:tcPr>
          <w:p w14:paraId="4CE5C1B7"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性能指标项目</w:t>
            </w:r>
          </w:p>
        </w:tc>
        <w:tc>
          <w:tcPr>
            <w:tcW w:w="2748" w:type="dxa"/>
            <w:vAlign w:val="center"/>
          </w:tcPr>
          <w:p w14:paraId="25455E00"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颁布单位</w:t>
            </w:r>
          </w:p>
        </w:tc>
      </w:tr>
      <w:tr w:rsidR="00094034" w14:paraId="35A9EC7A" w14:textId="77777777">
        <w:tc>
          <w:tcPr>
            <w:tcW w:w="690" w:type="dxa"/>
            <w:vAlign w:val="center"/>
          </w:tcPr>
          <w:p w14:paraId="7249B404"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1</w:t>
            </w:r>
          </w:p>
        </w:tc>
        <w:tc>
          <w:tcPr>
            <w:tcW w:w="703" w:type="dxa"/>
            <w:vAlign w:val="center"/>
          </w:tcPr>
          <w:p w14:paraId="108BFDF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全国</w:t>
            </w:r>
          </w:p>
        </w:tc>
        <w:tc>
          <w:tcPr>
            <w:tcW w:w="3334" w:type="dxa"/>
            <w:vAlign w:val="center"/>
          </w:tcPr>
          <w:p w14:paraId="659A674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餐饮业油烟在线监测报警仪认证技术规范</w:t>
            </w:r>
          </w:p>
          <w:p w14:paraId="6F78453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（RJGF 006-2022）</w:t>
            </w:r>
          </w:p>
        </w:tc>
        <w:tc>
          <w:tcPr>
            <w:tcW w:w="1224" w:type="dxa"/>
            <w:vAlign w:val="center"/>
          </w:tcPr>
          <w:p w14:paraId="74041A9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w:t>
            </w:r>
          </w:p>
        </w:tc>
        <w:tc>
          <w:tcPr>
            <w:tcW w:w="2748" w:type="dxa"/>
            <w:vAlign w:val="center"/>
          </w:tcPr>
          <w:p w14:paraId="5C7CAA9B"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中环协（北京）认证中心</w:t>
            </w:r>
          </w:p>
        </w:tc>
      </w:tr>
      <w:tr w:rsidR="00094034" w14:paraId="3333C39C" w14:textId="77777777">
        <w:tc>
          <w:tcPr>
            <w:tcW w:w="690" w:type="dxa"/>
            <w:vAlign w:val="center"/>
          </w:tcPr>
          <w:p w14:paraId="52E1DAF0"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2</w:t>
            </w:r>
          </w:p>
        </w:tc>
        <w:tc>
          <w:tcPr>
            <w:tcW w:w="703" w:type="dxa"/>
            <w:vAlign w:val="center"/>
          </w:tcPr>
          <w:p w14:paraId="3D990221"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杭州</w:t>
            </w:r>
          </w:p>
        </w:tc>
        <w:tc>
          <w:tcPr>
            <w:tcW w:w="3334" w:type="dxa"/>
            <w:vAlign w:val="center"/>
          </w:tcPr>
          <w:p w14:paraId="31F376C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餐饮油烟排放在线监测系统技术规范（试行）</w:t>
            </w:r>
          </w:p>
          <w:p w14:paraId="642021A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T/ZS 0220-2021</w:t>
            </w:r>
            <w:r>
              <w:rPr>
                <w:rFonts w:asciiTheme="majorEastAsia" w:eastAsiaTheme="majorEastAsia" w:hAnsiTheme="majorEastAsia" w:hint="eastAsia"/>
                <w:szCs w:val="21"/>
              </w:rPr>
              <w:t>）</w:t>
            </w:r>
          </w:p>
        </w:tc>
        <w:tc>
          <w:tcPr>
            <w:tcW w:w="1224" w:type="dxa"/>
            <w:vAlign w:val="center"/>
          </w:tcPr>
          <w:p w14:paraId="3FB9004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油烟、颗粒物</w:t>
            </w:r>
          </w:p>
        </w:tc>
        <w:tc>
          <w:tcPr>
            <w:tcW w:w="2748" w:type="dxa"/>
            <w:vAlign w:val="center"/>
          </w:tcPr>
          <w:p w14:paraId="374D7FFC"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杭州市环保产业协会</w:t>
            </w:r>
          </w:p>
        </w:tc>
      </w:tr>
      <w:tr w:rsidR="00094034" w14:paraId="42EFE3FE" w14:textId="77777777">
        <w:tc>
          <w:tcPr>
            <w:tcW w:w="690" w:type="dxa"/>
            <w:vAlign w:val="center"/>
          </w:tcPr>
          <w:p w14:paraId="63E4021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3</w:t>
            </w:r>
          </w:p>
        </w:tc>
        <w:tc>
          <w:tcPr>
            <w:tcW w:w="703" w:type="dxa"/>
            <w:vAlign w:val="center"/>
          </w:tcPr>
          <w:p w14:paraId="3D307AE7"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广州</w:t>
            </w:r>
          </w:p>
        </w:tc>
        <w:tc>
          <w:tcPr>
            <w:tcW w:w="3334" w:type="dxa"/>
            <w:vAlign w:val="center"/>
          </w:tcPr>
          <w:p w14:paraId="07E7CE4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高效稳定餐饮油烟净化系统第</w:t>
            </w:r>
            <w:r>
              <w:rPr>
                <w:rFonts w:asciiTheme="majorEastAsia" w:eastAsiaTheme="majorEastAsia" w:hAnsiTheme="majorEastAsia"/>
                <w:szCs w:val="21"/>
              </w:rPr>
              <w:t>3</w:t>
            </w:r>
            <w:r>
              <w:rPr>
                <w:rFonts w:asciiTheme="majorEastAsia" w:eastAsiaTheme="majorEastAsia" w:hAnsiTheme="majorEastAsia" w:hint="eastAsia"/>
                <w:szCs w:val="21"/>
              </w:rPr>
              <w:t>部分：在线监测监控设备技术要求</w:t>
            </w:r>
          </w:p>
          <w:p w14:paraId="62E0616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T/GZBC45.3- 2021</w:t>
            </w:r>
            <w:r>
              <w:rPr>
                <w:rFonts w:asciiTheme="majorEastAsia" w:eastAsiaTheme="majorEastAsia" w:hAnsiTheme="majorEastAsia" w:hint="eastAsia"/>
                <w:szCs w:val="21"/>
              </w:rPr>
              <w:t>）</w:t>
            </w:r>
          </w:p>
        </w:tc>
        <w:tc>
          <w:tcPr>
            <w:tcW w:w="1224" w:type="dxa"/>
            <w:vAlign w:val="center"/>
          </w:tcPr>
          <w:p w14:paraId="550501A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油烟、非甲烷总烃</w:t>
            </w:r>
          </w:p>
        </w:tc>
        <w:tc>
          <w:tcPr>
            <w:tcW w:w="2748" w:type="dxa"/>
            <w:vAlign w:val="center"/>
          </w:tcPr>
          <w:p w14:paraId="3C1C888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广州市标准化促进会</w:t>
            </w:r>
          </w:p>
          <w:p w14:paraId="2DAF8E39" w14:textId="77777777" w:rsidR="00094034" w:rsidRDefault="00094034">
            <w:pPr>
              <w:spacing w:line="360" w:lineRule="auto"/>
              <w:jc w:val="center"/>
              <w:rPr>
                <w:rFonts w:asciiTheme="majorEastAsia" w:eastAsiaTheme="majorEastAsia" w:hAnsiTheme="majorEastAsia" w:hint="eastAsia"/>
                <w:szCs w:val="21"/>
              </w:rPr>
            </w:pPr>
          </w:p>
        </w:tc>
      </w:tr>
      <w:tr w:rsidR="00094034" w14:paraId="6BCF4553" w14:textId="77777777">
        <w:tc>
          <w:tcPr>
            <w:tcW w:w="690" w:type="dxa"/>
            <w:vAlign w:val="center"/>
          </w:tcPr>
          <w:p w14:paraId="080A657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4</w:t>
            </w:r>
          </w:p>
        </w:tc>
        <w:tc>
          <w:tcPr>
            <w:tcW w:w="703" w:type="dxa"/>
            <w:vAlign w:val="center"/>
          </w:tcPr>
          <w:p w14:paraId="11E31FB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浙江</w:t>
            </w:r>
          </w:p>
        </w:tc>
        <w:tc>
          <w:tcPr>
            <w:tcW w:w="3334" w:type="dxa"/>
            <w:vAlign w:val="center"/>
          </w:tcPr>
          <w:p w14:paraId="5144334D"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餐饮油烟在线监测仪及智慧监测平台技术规范</w:t>
            </w:r>
          </w:p>
          <w:p w14:paraId="4070F4ED"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T/ZAEIEP-</w:t>
            </w:r>
            <w:r>
              <w:rPr>
                <w:rFonts w:asciiTheme="majorEastAsia" w:eastAsiaTheme="majorEastAsia" w:hAnsiTheme="majorEastAsia" w:hint="eastAsia"/>
                <w:szCs w:val="21"/>
              </w:rPr>
              <w:t>0</w:t>
            </w:r>
            <w:r>
              <w:rPr>
                <w:rFonts w:asciiTheme="majorEastAsia" w:eastAsiaTheme="majorEastAsia" w:hAnsiTheme="majorEastAsia"/>
                <w:szCs w:val="21"/>
              </w:rPr>
              <w:t>01-2020</w:t>
            </w:r>
            <w:r>
              <w:rPr>
                <w:rFonts w:asciiTheme="majorEastAsia" w:eastAsiaTheme="majorEastAsia" w:hAnsiTheme="majorEastAsia" w:hint="eastAsia"/>
                <w:szCs w:val="21"/>
              </w:rPr>
              <w:t>）</w:t>
            </w:r>
          </w:p>
        </w:tc>
        <w:tc>
          <w:tcPr>
            <w:tcW w:w="1224" w:type="dxa"/>
            <w:vAlign w:val="center"/>
          </w:tcPr>
          <w:p w14:paraId="48710DC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油烟，其他不明</w:t>
            </w:r>
          </w:p>
        </w:tc>
        <w:tc>
          <w:tcPr>
            <w:tcW w:w="2748" w:type="dxa"/>
            <w:vAlign w:val="center"/>
          </w:tcPr>
          <w:p w14:paraId="342A516D"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浙江省环保装备行业协会</w:t>
            </w:r>
          </w:p>
          <w:p w14:paraId="56829D09" w14:textId="77777777" w:rsidR="00094034" w:rsidRDefault="00094034">
            <w:pPr>
              <w:spacing w:line="360" w:lineRule="auto"/>
              <w:jc w:val="center"/>
              <w:rPr>
                <w:rFonts w:asciiTheme="majorEastAsia" w:eastAsiaTheme="majorEastAsia" w:hAnsiTheme="majorEastAsia" w:hint="eastAsia"/>
                <w:szCs w:val="21"/>
              </w:rPr>
            </w:pPr>
          </w:p>
        </w:tc>
      </w:tr>
      <w:tr w:rsidR="00094034" w14:paraId="0F8A5B53" w14:textId="77777777">
        <w:tc>
          <w:tcPr>
            <w:tcW w:w="690" w:type="dxa"/>
            <w:vAlign w:val="center"/>
          </w:tcPr>
          <w:p w14:paraId="09A35FF1"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5</w:t>
            </w:r>
          </w:p>
        </w:tc>
        <w:tc>
          <w:tcPr>
            <w:tcW w:w="703" w:type="dxa"/>
            <w:vAlign w:val="center"/>
          </w:tcPr>
          <w:p w14:paraId="5BA44B7C"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深圳</w:t>
            </w:r>
          </w:p>
        </w:tc>
        <w:tc>
          <w:tcPr>
            <w:tcW w:w="3334" w:type="dxa"/>
            <w:vAlign w:val="center"/>
          </w:tcPr>
          <w:p w14:paraId="48F0B0F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餐饮业油烟污染物在线监测系统技术要求</w:t>
            </w:r>
          </w:p>
          <w:p w14:paraId="54C189D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（DB4403/T 207-2021）</w:t>
            </w:r>
          </w:p>
        </w:tc>
        <w:tc>
          <w:tcPr>
            <w:tcW w:w="1224" w:type="dxa"/>
            <w:vAlign w:val="center"/>
          </w:tcPr>
          <w:p w14:paraId="1FD1A0A0"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油烟、非甲烷总烃</w:t>
            </w:r>
          </w:p>
        </w:tc>
        <w:tc>
          <w:tcPr>
            <w:tcW w:w="2748" w:type="dxa"/>
            <w:vAlign w:val="center"/>
          </w:tcPr>
          <w:p w14:paraId="480BD159"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深圳市市场监督管理局</w:t>
            </w:r>
          </w:p>
          <w:p w14:paraId="086B1828" w14:textId="77777777" w:rsidR="00094034" w:rsidRDefault="00094034">
            <w:pPr>
              <w:spacing w:line="360" w:lineRule="auto"/>
              <w:jc w:val="center"/>
              <w:rPr>
                <w:rFonts w:asciiTheme="majorEastAsia" w:eastAsiaTheme="majorEastAsia" w:hAnsiTheme="majorEastAsia" w:hint="eastAsia"/>
                <w:szCs w:val="21"/>
              </w:rPr>
            </w:pPr>
          </w:p>
        </w:tc>
      </w:tr>
      <w:tr w:rsidR="00094034" w14:paraId="320118A5" w14:textId="77777777">
        <w:trPr>
          <w:trHeight w:val="824"/>
        </w:trPr>
        <w:tc>
          <w:tcPr>
            <w:tcW w:w="690" w:type="dxa"/>
            <w:vAlign w:val="center"/>
          </w:tcPr>
          <w:p w14:paraId="49DE39BF"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6</w:t>
            </w:r>
          </w:p>
        </w:tc>
        <w:tc>
          <w:tcPr>
            <w:tcW w:w="703" w:type="dxa"/>
            <w:vAlign w:val="center"/>
          </w:tcPr>
          <w:p w14:paraId="6D5A2FDF"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上海</w:t>
            </w:r>
          </w:p>
        </w:tc>
        <w:tc>
          <w:tcPr>
            <w:tcW w:w="3334" w:type="dxa"/>
            <w:vAlign w:val="center"/>
          </w:tcPr>
          <w:p w14:paraId="37EB75E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szCs w:val="21"/>
              </w:rPr>
              <w:t>餐饮油烟在线监测（光散射法）与监控技术规范</w:t>
            </w:r>
          </w:p>
          <w:p w14:paraId="5F16C40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T/SHAEPI 003</w:t>
            </w:r>
            <w:r>
              <w:rPr>
                <w:rFonts w:asciiTheme="majorEastAsia" w:eastAsiaTheme="majorEastAsia" w:hAnsiTheme="majorEastAsia" w:hint="eastAsia"/>
                <w:szCs w:val="21"/>
              </w:rPr>
              <w:t>—2022）</w:t>
            </w:r>
          </w:p>
        </w:tc>
        <w:tc>
          <w:tcPr>
            <w:tcW w:w="1224" w:type="dxa"/>
            <w:vAlign w:val="center"/>
          </w:tcPr>
          <w:p w14:paraId="076A573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w:t>
            </w:r>
          </w:p>
        </w:tc>
        <w:tc>
          <w:tcPr>
            <w:tcW w:w="2748" w:type="dxa"/>
            <w:vAlign w:val="center"/>
          </w:tcPr>
          <w:p w14:paraId="159FE42C"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上海市环境保护产业协会</w:t>
            </w:r>
          </w:p>
        </w:tc>
      </w:tr>
      <w:tr w:rsidR="00094034" w14:paraId="22C81623" w14:textId="77777777">
        <w:trPr>
          <w:trHeight w:val="870"/>
        </w:trPr>
        <w:tc>
          <w:tcPr>
            <w:tcW w:w="690" w:type="dxa"/>
            <w:vAlign w:val="center"/>
          </w:tcPr>
          <w:p w14:paraId="6F1B2F4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7</w:t>
            </w:r>
          </w:p>
        </w:tc>
        <w:tc>
          <w:tcPr>
            <w:tcW w:w="703" w:type="dxa"/>
            <w:vAlign w:val="center"/>
          </w:tcPr>
          <w:p w14:paraId="00F2BA7A"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安徽</w:t>
            </w:r>
          </w:p>
        </w:tc>
        <w:tc>
          <w:tcPr>
            <w:tcW w:w="3334" w:type="dxa"/>
            <w:vAlign w:val="center"/>
          </w:tcPr>
          <w:p w14:paraId="7AE8869A"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餐饮油烟排放连续在线监测技术规范</w:t>
            </w:r>
          </w:p>
          <w:p w14:paraId="4580A93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（T/AHEMA 20—2022）</w:t>
            </w:r>
          </w:p>
        </w:tc>
        <w:tc>
          <w:tcPr>
            <w:tcW w:w="1224" w:type="dxa"/>
            <w:vAlign w:val="center"/>
          </w:tcPr>
          <w:p w14:paraId="73E7D414"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油烟、颗粒物、非甲烷总烃</w:t>
            </w:r>
          </w:p>
        </w:tc>
        <w:tc>
          <w:tcPr>
            <w:tcW w:w="2748" w:type="dxa"/>
            <w:vAlign w:val="center"/>
          </w:tcPr>
          <w:p w14:paraId="1FBFF934"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安徽省环境检测行业协会</w:t>
            </w:r>
          </w:p>
        </w:tc>
      </w:tr>
      <w:tr w:rsidR="00094034" w14:paraId="387B69CE" w14:textId="77777777">
        <w:trPr>
          <w:trHeight w:val="812"/>
        </w:trPr>
        <w:tc>
          <w:tcPr>
            <w:tcW w:w="690" w:type="dxa"/>
            <w:vAlign w:val="center"/>
          </w:tcPr>
          <w:p w14:paraId="7105F2CF"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8</w:t>
            </w:r>
          </w:p>
        </w:tc>
        <w:tc>
          <w:tcPr>
            <w:tcW w:w="703" w:type="dxa"/>
            <w:vAlign w:val="center"/>
          </w:tcPr>
          <w:p w14:paraId="0C40F4F3"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安徽</w:t>
            </w:r>
          </w:p>
        </w:tc>
        <w:tc>
          <w:tcPr>
            <w:tcW w:w="3334" w:type="dxa"/>
            <w:vAlign w:val="center"/>
          </w:tcPr>
          <w:p w14:paraId="3301CA99"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餐饮油烟排放在线监测系统运</w:t>
            </w:r>
            <w:proofErr w:type="gramStart"/>
            <w:r>
              <w:rPr>
                <w:rFonts w:asciiTheme="majorEastAsia" w:eastAsiaTheme="majorEastAsia" w:hAnsiTheme="majorEastAsia" w:hint="eastAsia"/>
                <w:szCs w:val="21"/>
              </w:rPr>
              <w:t>维技术</w:t>
            </w:r>
            <w:proofErr w:type="gramEnd"/>
            <w:r>
              <w:rPr>
                <w:rFonts w:asciiTheme="majorEastAsia" w:eastAsiaTheme="majorEastAsia" w:hAnsiTheme="majorEastAsia" w:hint="eastAsia"/>
                <w:szCs w:val="21"/>
              </w:rPr>
              <w:t>规范</w:t>
            </w:r>
          </w:p>
          <w:p w14:paraId="66C60B8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（T/AHEMA 25—2022）</w:t>
            </w:r>
          </w:p>
        </w:tc>
        <w:tc>
          <w:tcPr>
            <w:tcW w:w="1224" w:type="dxa"/>
            <w:vAlign w:val="center"/>
          </w:tcPr>
          <w:p w14:paraId="56B4F98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油烟、颗粒物、非甲烷总烃</w:t>
            </w:r>
          </w:p>
        </w:tc>
        <w:tc>
          <w:tcPr>
            <w:tcW w:w="2748" w:type="dxa"/>
            <w:vAlign w:val="center"/>
          </w:tcPr>
          <w:p w14:paraId="77D4C44B"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安徽省环境检测行业协会</w:t>
            </w:r>
          </w:p>
        </w:tc>
      </w:tr>
      <w:tr w:rsidR="00094034" w14:paraId="4B6BB2B5" w14:textId="77777777">
        <w:trPr>
          <w:trHeight w:val="846"/>
        </w:trPr>
        <w:tc>
          <w:tcPr>
            <w:tcW w:w="690" w:type="dxa"/>
            <w:vAlign w:val="center"/>
          </w:tcPr>
          <w:p w14:paraId="7196E7B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9</w:t>
            </w:r>
          </w:p>
        </w:tc>
        <w:tc>
          <w:tcPr>
            <w:tcW w:w="703" w:type="dxa"/>
            <w:vAlign w:val="center"/>
          </w:tcPr>
          <w:p w14:paraId="45443631"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山东</w:t>
            </w:r>
          </w:p>
        </w:tc>
        <w:tc>
          <w:tcPr>
            <w:tcW w:w="3334" w:type="dxa"/>
            <w:vAlign w:val="center"/>
          </w:tcPr>
          <w:p w14:paraId="64DFC00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餐饮油烟在线监测系统技术规范</w:t>
            </w:r>
          </w:p>
          <w:p w14:paraId="76D7B32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（T/SDSES 010-2023）</w:t>
            </w:r>
          </w:p>
        </w:tc>
        <w:tc>
          <w:tcPr>
            <w:tcW w:w="1224" w:type="dxa"/>
            <w:vAlign w:val="center"/>
          </w:tcPr>
          <w:p w14:paraId="4C009F6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油烟、颗粒物、非甲烷总烃</w:t>
            </w:r>
          </w:p>
        </w:tc>
        <w:tc>
          <w:tcPr>
            <w:tcW w:w="2748" w:type="dxa"/>
            <w:vAlign w:val="center"/>
          </w:tcPr>
          <w:p w14:paraId="4EEF3FB4"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山东环境科学学会</w:t>
            </w:r>
          </w:p>
        </w:tc>
      </w:tr>
      <w:tr w:rsidR="00094034" w14:paraId="5C6C5436" w14:textId="77777777">
        <w:trPr>
          <w:trHeight w:val="638"/>
        </w:trPr>
        <w:tc>
          <w:tcPr>
            <w:tcW w:w="690" w:type="dxa"/>
            <w:vAlign w:val="center"/>
          </w:tcPr>
          <w:p w14:paraId="7DB3AD2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10</w:t>
            </w:r>
          </w:p>
        </w:tc>
        <w:tc>
          <w:tcPr>
            <w:tcW w:w="703" w:type="dxa"/>
            <w:vAlign w:val="center"/>
          </w:tcPr>
          <w:p w14:paraId="7107BF56"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山东</w:t>
            </w:r>
          </w:p>
        </w:tc>
        <w:tc>
          <w:tcPr>
            <w:tcW w:w="3334" w:type="dxa"/>
            <w:vAlign w:val="center"/>
          </w:tcPr>
          <w:p w14:paraId="5144295F"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餐饮油烟在线监测系统</w:t>
            </w:r>
          </w:p>
          <w:p w14:paraId="3EF40757"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运营维护规范》</w:t>
            </w:r>
          </w:p>
          <w:p w14:paraId="32CA68AD"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（T/SDSES 011-2023）</w:t>
            </w:r>
          </w:p>
        </w:tc>
        <w:tc>
          <w:tcPr>
            <w:tcW w:w="1224" w:type="dxa"/>
            <w:vAlign w:val="center"/>
          </w:tcPr>
          <w:p w14:paraId="1A1E870C"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油烟、颗粒物、非甲烷总烃</w:t>
            </w:r>
          </w:p>
        </w:tc>
        <w:tc>
          <w:tcPr>
            <w:tcW w:w="2748" w:type="dxa"/>
            <w:vAlign w:val="center"/>
          </w:tcPr>
          <w:p w14:paraId="202F94CE"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山东环境科学学会</w:t>
            </w:r>
          </w:p>
        </w:tc>
      </w:tr>
      <w:tr w:rsidR="00094034" w14:paraId="1FBF0820" w14:textId="77777777">
        <w:trPr>
          <w:trHeight w:val="638"/>
        </w:trPr>
        <w:tc>
          <w:tcPr>
            <w:tcW w:w="690" w:type="dxa"/>
            <w:vAlign w:val="center"/>
          </w:tcPr>
          <w:p w14:paraId="42E7905B"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11</w:t>
            </w:r>
          </w:p>
        </w:tc>
        <w:tc>
          <w:tcPr>
            <w:tcW w:w="703" w:type="dxa"/>
            <w:vAlign w:val="center"/>
          </w:tcPr>
          <w:p w14:paraId="4899CCBF"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浙江</w:t>
            </w:r>
          </w:p>
        </w:tc>
        <w:tc>
          <w:tcPr>
            <w:tcW w:w="3334" w:type="dxa"/>
            <w:vAlign w:val="center"/>
          </w:tcPr>
          <w:p w14:paraId="4F50A57C"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餐饮油烟在线监测仪</w:t>
            </w:r>
          </w:p>
          <w:p w14:paraId="63E967AD"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（T/ZS 0406-2022）</w:t>
            </w:r>
          </w:p>
        </w:tc>
        <w:tc>
          <w:tcPr>
            <w:tcW w:w="1224" w:type="dxa"/>
            <w:vAlign w:val="center"/>
          </w:tcPr>
          <w:p w14:paraId="0C3B4BB1"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油烟、颗粒物</w:t>
            </w:r>
          </w:p>
        </w:tc>
        <w:tc>
          <w:tcPr>
            <w:tcW w:w="2748" w:type="dxa"/>
            <w:vAlign w:val="center"/>
          </w:tcPr>
          <w:p w14:paraId="59D371BB"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浙江省产品与工程标准化协会</w:t>
            </w:r>
          </w:p>
        </w:tc>
      </w:tr>
      <w:tr w:rsidR="00094034" w14:paraId="0E923F86" w14:textId="77777777">
        <w:trPr>
          <w:trHeight w:val="638"/>
        </w:trPr>
        <w:tc>
          <w:tcPr>
            <w:tcW w:w="690" w:type="dxa"/>
            <w:vAlign w:val="center"/>
          </w:tcPr>
          <w:p w14:paraId="7EA76A65"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12</w:t>
            </w:r>
          </w:p>
        </w:tc>
        <w:tc>
          <w:tcPr>
            <w:tcW w:w="703" w:type="dxa"/>
            <w:vAlign w:val="center"/>
          </w:tcPr>
          <w:p w14:paraId="77A99C6C"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杭州</w:t>
            </w:r>
          </w:p>
        </w:tc>
        <w:tc>
          <w:tcPr>
            <w:tcW w:w="3334" w:type="dxa"/>
            <w:vAlign w:val="center"/>
          </w:tcPr>
          <w:p w14:paraId="40E2E5A1" w14:textId="77777777" w:rsidR="00094034" w:rsidRDefault="00000000">
            <w:pPr>
              <w:spacing w:line="360" w:lineRule="auto"/>
              <w:jc w:val="center"/>
              <w:rPr>
                <w:rFonts w:asciiTheme="majorEastAsia" w:eastAsiaTheme="majorEastAsia" w:hAnsiTheme="majorEastAsia" w:hint="eastAsia"/>
                <w:szCs w:val="21"/>
              </w:rPr>
            </w:pPr>
            <w:bookmarkStart w:id="19" w:name="_Toc4294"/>
            <w:r>
              <w:rPr>
                <w:rFonts w:asciiTheme="majorEastAsia" w:eastAsiaTheme="majorEastAsia" w:hAnsiTheme="majorEastAsia" w:hint="eastAsia"/>
                <w:szCs w:val="21"/>
              </w:rPr>
              <w:t>餐饮油烟、颗粒物在线监测仪</w:t>
            </w:r>
            <w:r>
              <w:rPr>
                <w:rFonts w:asciiTheme="majorEastAsia" w:eastAsiaTheme="majorEastAsia" w:hAnsiTheme="majorEastAsia"/>
                <w:szCs w:val="21"/>
              </w:rPr>
              <w:t>（光散射法）</w:t>
            </w:r>
            <w:r>
              <w:rPr>
                <w:rFonts w:asciiTheme="majorEastAsia" w:eastAsiaTheme="majorEastAsia" w:hAnsiTheme="majorEastAsia" w:hint="eastAsia"/>
                <w:szCs w:val="21"/>
              </w:rPr>
              <w:t>技术要求及测量</w:t>
            </w:r>
            <w:r>
              <w:rPr>
                <w:rFonts w:asciiTheme="majorEastAsia" w:eastAsiaTheme="majorEastAsia" w:hAnsiTheme="majorEastAsia"/>
                <w:szCs w:val="21"/>
              </w:rPr>
              <w:t>方法</w:t>
            </w:r>
            <w:bookmarkEnd w:id="19"/>
          </w:p>
          <w:p w14:paraId="5B9017D8"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T/</w:t>
            </w:r>
            <w:r>
              <w:rPr>
                <w:rFonts w:asciiTheme="majorEastAsia" w:eastAsiaTheme="majorEastAsia" w:hAnsiTheme="majorEastAsia" w:hint="eastAsia"/>
                <w:szCs w:val="21"/>
              </w:rPr>
              <w:t>HZSM</w:t>
            </w:r>
            <w:r>
              <w:rPr>
                <w:rFonts w:asciiTheme="majorEastAsia" w:eastAsiaTheme="majorEastAsia" w:hAnsiTheme="majorEastAsia"/>
                <w:szCs w:val="21"/>
              </w:rPr>
              <w:t xml:space="preserve"> </w:t>
            </w:r>
            <w:r>
              <w:rPr>
                <w:rFonts w:asciiTheme="majorEastAsia" w:eastAsiaTheme="majorEastAsia" w:hAnsiTheme="majorEastAsia" w:hint="eastAsia"/>
                <w:szCs w:val="21"/>
              </w:rPr>
              <w:t>0001</w:t>
            </w:r>
            <w:r>
              <w:rPr>
                <w:rFonts w:asciiTheme="majorEastAsia" w:eastAsiaTheme="majorEastAsia" w:hAnsiTheme="majorEastAsia"/>
                <w:szCs w:val="21"/>
              </w:rPr>
              <w:t>-</w:t>
            </w:r>
            <w:r>
              <w:rPr>
                <w:rFonts w:asciiTheme="majorEastAsia" w:eastAsiaTheme="majorEastAsia" w:hAnsiTheme="majorEastAsia" w:hint="eastAsia"/>
                <w:szCs w:val="21"/>
              </w:rPr>
              <w:t>2022）</w:t>
            </w:r>
          </w:p>
        </w:tc>
        <w:tc>
          <w:tcPr>
            <w:tcW w:w="1224" w:type="dxa"/>
            <w:vAlign w:val="center"/>
          </w:tcPr>
          <w:p w14:paraId="41EFA8D0"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油烟、颗粒物</w:t>
            </w:r>
          </w:p>
        </w:tc>
        <w:tc>
          <w:tcPr>
            <w:tcW w:w="2748" w:type="dxa"/>
            <w:vAlign w:val="center"/>
          </w:tcPr>
          <w:p w14:paraId="222C0A42" w14:textId="77777777" w:rsidR="00094034" w:rsidRDefault="00000000">
            <w:pPr>
              <w:spacing w:line="360" w:lineRule="auto"/>
              <w:jc w:val="center"/>
              <w:rPr>
                <w:rFonts w:asciiTheme="majorEastAsia" w:eastAsiaTheme="majorEastAsia" w:hAnsiTheme="majorEastAsia" w:hint="eastAsia"/>
                <w:szCs w:val="21"/>
              </w:rPr>
            </w:pPr>
            <w:r>
              <w:rPr>
                <w:rFonts w:asciiTheme="majorEastAsia" w:eastAsiaTheme="majorEastAsia" w:hAnsiTheme="majorEastAsia" w:hint="eastAsia"/>
                <w:szCs w:val="21"/>
              </w:rPr>
              <w:t>杭州市计量测量学会</w:t>
            </w:r>
          </w:p>
        </w:tc>
      </w:tr>
    </w:tbl>
    <w:p w14:paraId="1B9BBE57" w14:textId="77777777" w:rsidR="00094034" w:rsidRDefault="00094034">
      <w:pPr>
        <w:spacing w:line="360" w:lineRule="auto"/>
        <w:rPr>
          <w:rFonts w:asciiTheme="majorEastAsia" w:eastAsiaTheme="majorEastAsia" w:hAnsiTheme="majorEastAsia" w:cs="宋体" w:hint="eastAsia"/>
          <w:sz w:val="24"/>
        </w:rPr>
        <w:sectPr w:rsidR="00094034">
          <w:footerReference w:type="default" r:id="rId22"/>
          <w:pgSz w:w="11906" w:h="16838"/>
          <w:pgMar w:top="1440" w:right="1800" w:bottom="1440" w:left="1800" w:header="851" w:footer="992" w:gutter="0"/>
          <w:pgNumType w:start="1"/>
          <w:cols w:space="425"/>
          <w:docGrid w:type="lines" w:linePitch="312"/>
        </w:sectPr>
      </w:pPr>
    </w:p>
    <w:p w14:paraId="40E1CE19" w14:textId="77777777" w:rsidR="00094034" w:rsidRDefault="00000000">
      <w:pPr>
        <w:spacing w:line="360" w:lineRule="auto"/>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lastRenderedPageBreak/>
        <w:t>表12  餐饮油烟在线监测标准（规范）有关性能指标要求</w:t>
      </w:r>
    </w:p>
    <w:tbl>
      <w:tblPr>
        <w:tblStyle w:val="a9"/>
        <w:tblW w:w="15072" w:type="dxa"/>
        <w:tblInd w:w="-922" w:type="dxa"/>
        <w:tblLayout w:type="fixed"/>
        <w:tblLook w:val="04A0" w:firstRow="1" w:lastRow="0" w:firstColumn="1" w:lastColumn="0" w:noHBand="0" w:noVBand="1"/>
      </w:tblPr>
      <w:tblGrid>
        <w:gridCol w:w="552"/>
        <w:gridCol w:w="588"/>
        <w:gridCol w:w="2070"/>
        <w:gridCol w:w="732"/>
        <w:gridCol w:w="1704"/>
        <w:gridCol w:w="2844"/>
        <w:gridCol w:w="720"/>
        <w:gridCol w:w="720"/>
        <w:gridCol w:w="792"/>
        <w:gridCol w:w="1056"/>
        <w:gridCol w:w="960"/>
        <w:gridCol w:w="792"/>
        <w:gridCol w:w="756"/>
        <w:gridCol w:w="786"/>
      </w:tblGrid>
      <w:tr w:rsidR="00094034" w14:paraId="23C30134" w14:textId="77777777">
        <w:trPr>
          <w:trHeight w:val="767"/>
        </w:trPr>
        <w:tc>
          <w:tcPr>
            <w:tcW w:w="552" w:type="dxa"/>
            <w:vAlign w:val="center"/>
          </w:tcPr>
          <w:p w14:paraId="31AC5B4B"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序号</w:t>
            </w:r>
          </w:p>
        </w:tc>
        <w:tc>
          <w:tcPr>
            <w:tcW w:w="588" w:type="dxa"/>
            <w:vAlign w:val="center"/>
          </w:tcPr>
          <w:p w14:paraId="3C37074A"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地区</w:t>
            </w:r>
          </w:p>
        </w:tc>
        <w:tc>
          <w:tcPr>
            <w:tcW w:w="2070" w:type="dxa"/>
            <w:vAlign w:val="center"/>
          </w:tcPr>
          <w:p w14:paraId="261F80D2"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名称</w:t>
            </w:r>
          </w:p>
        </w:tc>
        <w:tc>
          <w:tcPr>
            <w:tcW w:w="732" w:type="dxa"/>
            <w:vAlign w:val="center"/>
          </w:tcPr>
          <w:p w14:paraId="219DB116"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项目</w:t>
            </w:r>
          </w:p>
        </w:tc>
        <w:tc>
          <w:tcPr>
            <w:tcW w:w="1704" w:type="dxa"/>
            <w:vAlign w:val="center"/>
          </w:tcPr>
          <w:p w14:paraId="399F66B2"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零点漂移</w:t>
            </w:r>
          </w:p>
        </w:tc>
        <w:tc>
          <w:tcPr>
            <w:tcW w:w="2844" w:type="dxa"/>
            <w:vAlign w:val="center"/>
          </w:tcPr>
          <w:p w14:paraId="33337C01"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示值误差</w:t>
            </w:r>
          </w:p>
        </w:tc>
        <w:tc>
          <w:tcPr>
            <w:tcW w:w="720" w:type="dxa"/>
            <w:vAlign w:val="center"/>
          </w:tcPr>
          <w:p w14:paraId="5928F4D3"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响应时间</w:t>
            </w:r>
          </w:p>
        </w:tc>
        <w:tc>
          <w:tcPr>
            <w:tcW w:w="720" w:type="dxa"/>
            <w:vAlign w:val="center"/>
          </w:tcPr>
          <w:p w14:paraId="134520EA"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线性误差</w:t>
            </w:r>
          </w:p>
        </w:tc>
        <w:tc>
          <w:tcPr>
            <w:tcW w:w="792" w:type="dxa"/>
            <w:vAlign w:val="center"/>
          </w:tcPr>
          <w:p w14:paraId="5E0C77D0"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重复性</w:t>
            </w:r>
          </w:p>
        </w:tc>
        <w:tc>
          <w:tcPr>
            <w:tcW w:w="1056" w:type="dxa"/>
            <w:vAlign w:val="center"/>
          </w:tcPr>
          <w:p w14:paraId="1F5D595B"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量程</w:t>
            </w:r>
          </w:p>
        </w:tc>
        <w:tc>
          <w:tcPr>
            <w:tcW w:w="960" w:type="dxa"/>
            <w:vAlign w:val="center"/>
          </w:tcPr>
          <w:p w14:paraId="5B39B606"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高浓度</w:t>
            </w:r>
          </w:p>
          <w:p w14:paraId="5008E656"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影响试验</w:t>
            </w:r>
          </w:p>
        </w:tc>
        <w:tc>
          <w:tcPr>
            <w:tcW w:w="792" w:type="dxa"/>
            <w:vAlign w:val="center"/>
          </w:tcPr>
          <w:p w14:paraId="00794923"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风速影响试验</w:t>
            </w:r>
          </w:p>
        </w:tc>
        <w:tc>
          <w:tcPr>
            <w:tcW w:w="756" w:type="dxa"/>
            <w:vAlign w:val="center"/>
          </w:tcPr>
          <w:p w14:paraId="47F779AA"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光线影响试验</w:t>
            </w:r>
          </w:p>
        </w:tc>
        <w:tc>
          <w:tcPr>
            <w:tcW w:w="786" w:type="dxa"/>
            <w:vAlign w:val="center"/>
          </w:tcPr>
          <w:p w14:paraId="7C034034"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水汽影响试验</w:t>
            </w:r>
          </w:p>
        </w:tc>
      </w:tr>
      <w:tr w:rsidR="00094034" w14:paraId="671DA3D7" w14:textId="77777777">
        <w:trPr>
          <w:trHeight w:val="1153"/>
        </w:trPr>
        <w:tc>
          <w:tcPr>
            <w:tcW w:w="552" w:type="dxa"/>
            <w:vAlign w:val="center"/>
          </w:tcPr>
          <w:p w14:paraId="0B11FA8A"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1</w:t>
            </w:r>
          </w:p>
        </w:tc>
        <w:tc>
          <w:tcPr>
            <w:tcW w:w="588" w:type="dxa"/>
            <w:vAlign w:val="center"/>
          </w:tcPr>
          <w:p w14:paraId="4BC54105"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全国</w:t>
            </w:r>
          </w:p>
        </w:tc>
        <w:tc>
          <w:tcPr>
            <w:tcW w:w="2070" w:type="dxa"/>
            <w:vAlign w:val="center"/>
          </w:tcPr>
          <w:p w14:paraId="695C4231"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餐饮业油烟在线监测报警仪认证技术规范</w:t>
            </w:r>
          </w:p>
          <w:p w14:paraId="136448CA"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（RJGF 006-2022）</w:t>
            </w:r>
          </w:p>
        </w:tc>
        <w:tc>
          <w:tcPr>
            <w:tcW w:w="732" w:type="dxa"/>
            <w:vAlign w:val="center"/>
          </w:tcPr>
          <w:p w14:paraId="094931F2"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w:t>
            </w:r>
          </w:p>
        </w:tc>
        <w:tc>
          <w:tcPr>
            <w:tcW w:w="1704" w:type="dxa"/>
            <w:vAlign w:val="center"/>
          </w:tcPr>
          <w:p w14:paraId="580DCC1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w:t>
            </w:r>
            <w:r>
              <w:rPr>
                <w:rFonts w:asciiTheme="majorEastAsia" w:eastAsiaTheme="majorEastAsia" w:hAnsiTheme="majorEastAsia" w:cs="宋体"/>
                <w:color w:val="000000"/>
                <w:kern w:val="0"/>
                <w:szCs w:val="21"/>
                <w:lang w:bidi="ar"/>
              </w:rPr>
              <w:t>0.5mg/m</w:t>
            </w:r>
            <w:r>
              <w:rPr>
                <w:rFonts w:asciiTheme="majorEastAsia" w:eastAsiaTheme="majorEastAsia" w:hAnsiTheme="majorEastAsia" w:cs="宋体" w:hint="eastAsia"/>
                <w:color w:val="000000"/>
                <w:kern w:val="0"/>
                <w:szCs w:val="21"/>
                <w:lang w:bidi="ar"/>
              </w:rPr>
              <w:t>3</w:t>
            </w:r>
          </w:p>
        </w:tc>
        <w:tc>
          <w:tcPr>
            <w:tcW w:w="2844" w:type="dxa"/>
            <w:vAlign w:val="center"/>
          </w:tcPr>
          <w:p w14:paraId="245C14AE"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w:t>
            </w:r>
            <w:r>
              <w:rPr>
                <w:rFonts w:asciiTheme="majorEastAsia" w:eastAsiaTheme="majorEastAsia" w:hAnsiTheme="majorEastAsia" w:cs="宋体"/>
                <w:color w:val="000000"/>
                <w:kern w:val="0"/>
                <w:szCs w:val="21"/>
                <w:lang w:bidi="ar"/>
              </w:rPr>
              <w:t>20%</w:t>
            </w:r>
          </w:p>
        </w:tc>
        <w:tc>
          <w:tcPr>
            <w:tcW w:w="720" w:type="dxa"/>
            <w:vAlign w:val="center"/>
          </w:tcPr>
          <w:p w14:paraId="7B922E2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20" w:type="dxa"/>
            <w:vAlign w:val="center"/>
          </w:tcPr>
          <w:p w14:paraId="3200767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56CC876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1056" w:type="dxa"/>
            <w:vAlign w:val="center"/>
          </w:tcPr>
          <w:p w14:paraId="7F7400D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color w:val="000000"/>
                <w:kern w:val="0"/>
                <w:szCs w:val="21"/>
                <w:lang w:bidi="ar"/>
              </w:rPr>
              <w:t>10mg/m3</w:t>
            </w:r>
          </w:p>
        </w:tc>
        <w:tc>
          <w:tcPr>
            <w:tcW w:w="960" w:type="dxa"/>
            <w:vAlign w:val="center"/>
          </w:tcPr>
          <w:p w14:paraId="20502FD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w:t>
            </w:r>
            <w:r>
              <w:rPr>
                <w:rFonts w:asciiTheme="majorEastAsia" w:eastAsiaTheme="majorEastAsia" w:hAnsiTheme="majorEastAsia" w:cs="宋体"/>
                <w:color w:val="000000"/>
                <w:kern w:val="0"/>
                <w:szCs w:val="21"/>
                <w:lang w:bidi="ar"/>
              </w:rPr>
              <w:t>±20%</w:t>
            </w:r>
          </w:p>
        </w:tc>
        <w:tc>
          <w:tcPr>
            <w:tcW w:w="792" w:type="dxa"/>
            <w:vAlign w:val="center"/>
          </w:tcPr>
          <w:p w14:paraId="3F4708F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w:t>
            </w:r>
            <w:r>
              <w:rPr>
                <w:rFonts w:asciiTheme="majorEastAsia" w:eastAsiaTheme="majorEastAsia" w:hAnsiTheme="majorEastAsia" w:cs="宋体"/>
                <w:color w:val="000000"/>
                <w:kern w:val="0"/>
                <w:szCs w:val="21"/>
                <w:lang w:bidi="ar"/>
              </w:rPr>
              <w:t>0.5mg/m</w:t>
            </w:r>
            <w:r>
              <w:rPr>
                <w:rFonts w:asciiTheme="majorEastAsia" w:eastAsiaTheme="majorEastAsia" w:hAnsiTheme="majorEastAsia" w:cs="宋体" w:hint="eastAsia"/>
                <w:color w:val="000000"/>
                <w:kern w:val="0"/>
                <w:szCs w:val="21"/>
                <w:lang w:bidi="ar"/>
              </w:rPr>
              <w:t>3</w:t>
            </w:r>
          </w:p>
        </w:tc>
        <w:tc>
          <w:tcPr>
            <w:tcW w:w="756" w:type="dxa"/>
            <w:vAlign w:val="center"/>
          </w:tcPr>
          <w:p w14:paraId="232FD3B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86" w:type="dxa"/>
            <w:vAlign w:val="center"/>
          </w:tcPr>
          <w:p w14:paraId="7CDA8B44"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r>
      <w:tr w:rsidR="00094034" w14:paraId="51A13372" w14:textId="77777777">
        <w:trPr>
          <w:trHeight w:val="1129"/>
        </w:trPr>
        <w:tc>
          <w:tcPr>
            <w:tcW w:w="552" w:type="dxa"/>
            <w:vAlign w:val="center"/>
          </w:tcPr>
          <w:p w14:paraId="77235DEC"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2</w:t>
            </w:r>
          </w:p>
        </w:tc>
        <w:tc>
          <w:tcPr>
            <w:tcW w:w="588" w:type="dxa"/>
            <w:vAlign w:val="center"/>
          </w:tcPr>
          <w:p w14:paraId="22D7196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杭州</w:t>
            </w:r>
          </w:p>
        </w:tc>
        <w:tc>
          <w:tcPr>
            <w:tcW w:w="2070" w:type="dxa"/>
            <w:vAlign w:val="center"/>
          </w:tcPr>
          <w:p w14:paraId="30F54E6B"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餐饮油烟排放在线监测系统技术规范（试行）</w:t>
            </w:r>
          </w:p>
          <w:p w14:paraId="4DCE30D8"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T/ZS 0220-2021</w:t>
            </w:r>
            <w:r>
              <w:rPr>
                <w:rFonts w:asciiTheme="majorEastAsia" w:eastAsiaTheme="majorEastAsia" w:hAnsiTheme="majorEastAsia" w:cs="宋体" w:hint="eastAsia"/>
                <w:color w:val="000000"/>
                <w:kern w:val="0"/>
                <w:szCs w:val="21"/>
                <w:lang w:bidi="ar"/>
              </w:rPr>
              <w:t>）</w:t>
            </w:r>
          </w:p>
        </w:tc>
        <w:tc>
          <w:tcPr>
            <w:tcW w:w="732" w:type="dxa"/>
            <w:vAlign w:val="center"/>
          </w:tcPr>
          <w:p w14:paraId="7A349D5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油烟、颗粒物</w:t>
            </w:r>
          </w:p>
        </w:tc>
        <w:tc>
          <w:tcPr>
            <w:tcW w:w="1704" w:type="dxa"/>
            <w:vAlign w:val="center"/>
          </w:tcPr>
          <w:p w14:paraId="4F86034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w:t>
            </w:r>
            <w:r>
              <w:rPr>
                <w:rFonts w:asciiTheme="majorEastAsia" w:eastAsiaTheme="majorEastAsia" w:hAnsiTheme="majorEastAsia" w:cs="宋体"/>
                <w:color w:val="000000"/>
                <w:kern w:val="0"/>
                <w:szCs w:val="21"/>
                <w:lang w:bidi="ar"/>
              </w:rPr>
              <w:t>±0.5mg/m3</w:t>
            </w:r>
          </w:p>
        </w:tc>
        <w:tc>
          <w:tcPr>
            <w:tcW w:w="2844" w:type="dxa"/>
            <w:vAlign w:val="center"/>
          </w:tcPr>
          <w:p w14:paraId="6337A1D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color w:val="000000"/>
                <w:kern w:val="0"/>
                <w:szCs w:val="21"/>
                <w:lang w:bidi="ar"/>
              </w:rPr>
              <w:t>±0.1</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0mg/m3</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2mg/m3</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±10%</w:t>
            </w:r>
            <w:r>
              <w:rPr>
                <w:rFonts w:asciiTheme="majorEastAsia" w:eastAsiaTheme="majorEastAsia" w:hAnsiTheme="majorEastAsia" w:cs="宋体" w:hint="eastAsia"/>
                <w:color w:val="000000"/>
                <w:kern w:val="0"/>
                <w:szCs w:val="21"/>
                <w:lang w:bidi="ar"/>
              </w:rPr>
              <w:t>（&gt;</w:t>
            </w:r>
            <w:r>
              <w:rPr>
                <w:rFonts w:asciiTheme="majorEastAsia" w:eastAsiaTheme="majorEastAsia" w:hAnsiTheme="majorEastAsia" w:cs="宋体"/>
                <w:color w:val="000000"/>
                <w:kern w:val="0"/>
                <w:szCs w:val="21"/>
                <w:lang w:bidi="ar"/>
              </w:rPr>
              <w:t>2mg/m3</w:t>
            </w:r>
            <w:r>
              <w:rPr>
                <w:rFonts w:asciiTheme="majorEastAsia" w:eastAsiaTheme="majorEastAsia" w:hAnsiTheme="majorEastAsia" w:cs="宋体" w:hint="eastAsia"/>
                <w:color w:val="000000"/>
                <w:kern w:val="0"/>
                <w:szCs w:val="21"/>
                <w:lang w:bidi="ar"/>
              </w:rPr>
              <w:t>）</w:t>
            </w:r>
          </w:p>
        </w:tc>
        <w:tc>
          <w:tcPr>
            <w:tcW w:w="720" w:type="dxa"/>
            <w:vAlign w:val="center"/>
          </w:tcPr>
          <w:p w14:paraId="68497F89"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10s</w:t>
            </w:r>
          </w:p>
        </w:tc>
        <w:tc>
          <w:tcPr>
            <w:tcW w:w="720" w:type="dxa"/>
            <w:vAlign w:val="center"/>
          </w:tcPr>
          <w:p w14:paraId="66AEAC52"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5615A1C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1056" w:type="dxa"/>
            <w:vAlign w:val="center"/>
          </w:tcPr>
          <w:p w14:paraId="16ED116A"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10mg/m3</w:t>
            </w:r>
            <w:r>
              <w:rPr>
                <w:rFonts w:asciiTheme="majorEastAsia" w:eastAsiaTheme="majorEastAsia" w:hAnsiTheme="majorEastAsia" w:cs="宋体" w:hint="eastAsia"/>
                <w:color w:val="000000"/>
                <w:kern w:val="0"/>
                <w:szCs w:val="21"/>
                <w:lang w:bidi="ar"/>
              </w:rPr>
              <w:t>，颗粒物：</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50mg/m3</w:t>
            </w:r>
          </w:p>
        </w:tc>
        <w:tc>
          <w:tcPr>
            <w:tcW w:w="960" w:type="dxa"/>
            <w:vAlign w:val="center"/>
          </w:tcPr>
          <w:p w14:paraId="1FC1BE1E"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66A7379F"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56" w:type="dxa"/>
            <w:vAlign w:val="center"/>
          </w:tcPr>
          <w:p w14:paraId="380DCDD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86" w:type="dxa"/>
            <w:vAlign w:val="center"/>
          </w:tcPr>
          <w:p w14:paraId="049E8D59"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r>
      <w:tr w:rsidR="00094034" w14:paraId="3E9169A8" w14:textId="77777777">
        <w:tc>
          <w:tcPr>
            <w:tcW w:w="552" w:type="dxa"/>
            <w:vAlign w:val="center"/>
          </w:tcPr>
          <w:p w14:paraId="303F8B62"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3</w:t>
            </w:r>
          </w:p>
        </w:tc>
        <w:tc>
          <w:tcPr>
            <w:tcW w:w="588" w:type="dxa"/>
            <w:vAlign w:val="center"/>
          </w:tcPr>
          <w:p w14:paraId="10D308D2"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广州</w:t>
            </w:r>
          </w:p>
        </w:tc>
        <w:tc>
          <w:tcPr>
            <w:tcW w:w="2070" w:type="dxa"/>
            <w:vAlign w:val="center"/>
          </w:tcPr>
          <w:p w14:paraId="0B060814"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高效稳定餐饮油烟净化系统第</w:t>
            </w:r>
            <w:r>
              <w:rPr>
                <w:rFonts w:asciiTheme="majorEastAsia" w:eastAsiaTheme="majorEastAsia" w:hAnsiTheme="majorEastAsia" w:cs="宋体"/>
                <w:color w:val="000000"/>
                <w:kern w:val="0"/>
                <w:szCs w:val="21"/>
                <w:lang w:bidi="ar"/>
              </w:rPr>
              <w:t>3</w:t>
            </w:r>
            <w:r>
              <w:rPr>
                <w:rFonts w:asciiTheme="majorEastAsia" w:eastAsiaTheme="majorEastAsia" w:hAnsiTheme="majorEastAsia" w:cs="宋体" w:hint="eastAsia"/>
                <w:color w:val="000000"/>
                <w:kern w:val="0"/>
                <w:szCs w:val="21"/>
                <w:lang w:bidi="ar"/>
              </w:rPr>
              <w:t>部分：在线监测监控设备技术要求</w:t>
            </w:r>
          </w:p>
          <w:p w14:paraId="0170AC0E"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w:t>
            </w:r>
            <w:r>
              <w:rPr>
                <w:rFonts w:asciiTheme="majorEastAsia" w:eastAsiaTheme="majorEastAsia" w:hAnsiTheme="majorEastAsia" w:cs="宋体"/>
                <w:color w:val="000000"/>
                <w:kern w:val="0"/>
                <w:szCs w:val="21"/>
                <w:lang w:bidi="ar"/>
              </w:rPr>
              <w:t>T/GZBC45.3- 2021</w:t>
            </w:r>
            <w:r>
              <w:rPr>
                <w:rFonts w:asciiTheme="majorEastAsia" w:eastAsiaTheme="majorEastAsia" w:hAnsiTheme="majorEastAsia" w:cs="宋体" w:hint="eastAsia"/>
                <w:color w:val="000000"/>
                <w:kern w:val="0"/>
                <w:szCs w:val="21"/>
                <w:lang w:bidi="ar"/>
              </w:rPr>
              <w:t>）</w:t>
            </w:r>
          </w:p>
        </w:tc>
        <w:tc>
          <w:tcPr>
            <w:tcW w:w="732" w:type="dxa"/>
            <w:vAlign w:val="center"/>
          </w:tcPr>
          <w:p w14:paraId="5A853ED2"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油烟、非甲</w:t>
            </w:r>
            <w:r>
              <w:rPr>
                <w:rFonts w:asciiTheme="majorEastAsia" w:eastAsiaTheme="majorEastAsia" w:hAnsiTheme="majorEastAsia" w:cs="宋体" w:hint="eastAsia"/>
                <w:color w:val="000000"/>
                <w:kern w:val="0"/>
                <w:szCs w:val="21"/>
                <w:lang w:bidi="ar"/>
              </w:rPr>
              <w:lastRenderedPageBreak/>
              <w:t>烷总烃</w:t>
            </w:r>
          </w:p>
        </w:tc>
        <w:tc>
          <w:tcPr>
            <w:tcW w:w="1704" w:type="dxa"/>
            <w:vAlign w:val="center"/>
          </w:tcPr>
          <w:p w14:paraId="44C7DEC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不超过±0.5㎎/m³</w:t>
            </w:r>
          </w:p>
        </w:tc>
        <w:tc>
          <w:tcPr>
            <w:tcW w:w="2844" w:type="dxa"/>
            <w:vAlign w:val="center"/>
          </w:tcPr>
          <w:p w14:paraId="42BB1B9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油烟：不超过±</w:t>
            </w:r>
            <w:r>
              <w:rPr>
                <w:rFonts w:asciiTheme="majorEastAsia" w:eastAsiaTheme="majorEastAsia" w:hAnsiTheme="majorEastAsia" w:cs="宋体"/>
                <w:color w:val="000000"/>
                <w:kern w:val="0"/>
                <w:szCs w:val="21"/>
                <w:lang w:bidi="ar"/>
              </w:rPr>
              <w:t>20%</w:t>
            </w:r>
          </w:p>
        </w:tc>
        <w:tc>
          <w:tcPr>
            <w:tcW w:w="720" w:type="dxa"/>
            <w:vAlign w:val="center"/>
          </w:tcPr>
          <w:p w14:paraId="1F1F3845"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20" w:type="dxa"/>
            <w:vAlign w:val="center"/>
          </w:tcPr>
          <w:p w14:paraId="0BBE679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油烟：绝对值不</w:t>
            </w:r>
            <w:r>
              <w:rPr>
                <w:rFonts w:asciiTheme="majorEastAsia" w:eastAsiaTheme="majorEastAsia" w:hAnsiTheme="majorEastAsia" w:cs="宋体" w:hint="eastAsia"/>
                <w:color w:val="000000"/>
                <w:kern w:val="0"/>
                <w:szCs w:val="21"/>
                <w:lang w:bidi="ar"/>
              </w:rPr>
              <w:lastRenderedPageBreak/>
              <w:t>高于 10%</w:t>
            </w:r>
          </w:p>
        </w:tc>
        <w:tc>
          <w:tcPr>
            <w:tcW w:w="792" w:type="dxa"/>
            <w:vAlign w:val="center"/>
          </w:tcPr>
          <w:p w14:paraId="2297D78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w:t>
            </w:r>
          </w:p>
        </w:tc>
        <w:tc>
          <w:tcPr>
            <w:tcW w:w="1056" w:type="dxa"/>
            <w:vAlign w:val="center"/>
          </w:tcPr>
          <w:p w14:paraId="363341B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960" w:type="dxa"/>
            <w:vAlign w:val="center"/>
          </w:tcPr>
          <w:p w14:paraId="676BBDE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2B610CE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56" w:type="dxa"/>
            <w:vAlign w:val="center"/>
          </w:tcPr>
          <w:p w14:paraId="4538C66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86" w:type="dxa"/>
            <w:vAlign w:val="center"/>
          </w:tcPr>
          <w:p w14:paraId="2E20E22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r>
      <w:tr w:rsidR="00094034" w14:paraId="0EF9A494" w14:textId="77777777">
        <w:tc>
          <w:tcPr>
            <w:tcW w:w="552" w:type="dxa"/>
            <w:vAlign w:val="center"/>
          </w:tcPr>
          <w:p w14:paraId="6B8F2A4B"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4</w:t>
            </w:r>
          </w:p>
        </w:tc>
        <w:tc>
          <w:tcPr>
            <w:tcW w:w="588" w:type="dxa"/>
            <w:vAlign w:val="center"/>
          </w:tcPr>
          <w:p w14:paraId="6E567E6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深圳</w:t>
            </w:r>
          </w:p>
        </w:tc>
        <w:tc>
          <w:tcPr>
            <w:tcW w:w="2070" w:type="dxa"/>
            <w:vAlign w:val="center"/>
          </w:tcPr>
          <w:p w14:paraId="073BF257"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餐饮业油烟污染物在线监测系统技术要求</w:t>
            </w:r>
          </w:p>
          <w:p w14:paraId="21CC9AA5"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（DB4403/T 207-2021）</w:t>
            </w:r>
          </w:p>
        </w:tc>
        <w:tc>
          <w:tcPr>
            <w:tcW w:w="732" w:type="dxa"/>
            <w:vAlign w:val="center"/>
          </w:tcPr>
          <w:p w14:paraId="415577C5"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油烟、非甲烷总烃</w:t>
            </w:r>
          </w:p>
        </w:tc>
        <w:tc>
          <w:tcPr>
            <w:tcW w:w="1704" w:type="dxa"/>
            <w:vAlign w:val="center"/>
          </w:tcPr>
          <w:p w14:paraId="06E09384"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油烟：24h不超过±5%满量程，30d不超过±10%满量程</w:t>
            </w:r>
          </w:p>
          <w:p w14:paraId="7087E559"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非甲烷总烃：24h不超过±15%满量程，30d不超过±25%满量程</w:t>
            </w:r>
          </w:p>
        </w:tc>
        <w:tc>
          <w:tcPr>
            <w:tcW w:w="2844" w:type="dxa"/>
            <w:vAlign w:val="center"/>
          </w:tcPr>
          <w:p w14:paraId="2876829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油烟：浓度≤1.0</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3，绝对误差≤±</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2</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3；浓度&gt;1.0</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3，相对误差≤±30%。</w:t>
            </w:r>
          </w:p>
          <w:p w14:paraId="657CAD0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非甲烷总烃：≤</w:t>
            </w:r>
            <w:r>
              <w:rPr>
                <w:rFonts w:asciiTheme="majorEastAsia" w:eastAsiaTheme="majorEastAsia" w:hAnsiTheme="majorEastAsia" w:cs="宋体"/>
                <w:color w:val="000000"/>
                <w:kern w:val="0"/>
                <w:szCs w:val="21"/>
                <w:lang w:bidi="ar"/>
              </w:rPr>
              <w:t>±</w:t>
            </w:r>
            <w:r>
              <w:rPr>
                <w:rFonts w:asciiTheme="majorEastAsia" w:eastAsiaTheme="majorEastAsia" w:hAnsiTheme="majorEastAsia" w:cs="宋体" w:hint="eastAsia"/>
                <w:color w:val="000000"/>
                <w:kern w:val="0"/>
                <w:szCs w:val="21"/>
                <w:lang w:bidi="ar"/>
              </w:rPr>
              <w:t>20%</w:t>
            </w:r>
          </w:p>
        </w:tc>
        <w:tc>
          <w:tcPr>
            <w:tcW w:w="720" w:type="dxa"/>
            <w:vAlign w:val="center"/>
          </w:tcPr>
          <w:p w14:paraId="7B07AF8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油烟：≤30s</w:t>
            </w:r>
          </w:p>
          <w:p w14:paraId="70E5A5C8"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非甲烷总烃：≤90s</w:t>
            </w:r>
          </w:p>
        </w:tc>
        <w:tc>
          <w:tcPr>
            <w:tcW w:w="720" w:type="dxa"/>
            <w:vAlign w:val="center"/>
          </w:tcPr>
          <w:p w14:paraId="3515DE78"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23048254"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1056" w:type="dxa"/>
            <w:vAlign w:val="center"/>
          </w:tcPr>
          <w:p w14:paraId="7F089718"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960" w:type="dxa"/>
            <w:vAlign w:val="center"/>
          </w:tcPr>
          <w:p w14:paraId="079977F9"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259C2F8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56" w:type="dxa"/>
            <w:vAlign w:val="center"/>
          </w:tcPr>
          <w:p w14:paraId="73D70322"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86" w:type="dxa"/>
            <w:vAlign w:val="center"/>
          </w:tcPr>
          <w:p w14:paraId="1AA0340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r>
      <w:tr w:rsidR="00094034" w14:paraId="395EDDEF" w14:textId="77777777">
        <w:trPr>
          <w:trHeight w:val="824"/>
        </w:trPr>
        <w:tc>
          <w:tcPr>
            <w:tcW w:w="552" w:type="dxa"/>
            <w:vAlign w:val="center"/>
          </w:tcPr>
          <w:p w14:paraId="1A2B6AAE"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5</w:t>
            </w:r>
          </w:p>
        </w:tc>
        <w:tc>
          <w:tcPr>
            <w:tcW w:w="588" w:type="dxa"/>
            <w:vAlign w:val="center"/>
          </w:tcPr>
          <w:p w14:paraId="0EA84F6F"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上海</w:t>
            </w:r>
          </w:p>
        </w:tc>
        <w:tc>
          <w:tcPr>
            <w:tcW w:w="2070" w:type="dxa"/>
            <w:vAlign w:val="center"/>
          </w:tcPr>
          <w:p w14:paraId="69FC0DF8"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color w:val="000000"/>
                <w:kern w:val="0"/>
                <w:szCs w:val="21"/>
                <w:lang w:bidi="ar"/>
              </w:rPr>
              <w:t>餐饮油烟在线监测（光散射法）与监控技术规范</w:t>
            </w:r>
          </w:p>
          <w:p w14:paraId="05B0C93A"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T/SHAEPI 003</w:t>
            </w:r>
            <w:r>
              <w:rPr>
                <w:rFonts w:asciiTheme="majorEastAsia" w:eastAsiaTheme="majorEastAsia" w:hAnsiTheme="majorEastAsia" w:cs="宋体" w:hint="eastAsia"/>
                <w:color w:val="000000"/>
                <w:kern w:val="0"/>
                <w:szCs w:val="21"/>
                <w:lang w:bidi="ar"/>
              </w:rPr>
              <w:t>—2022）</w:t>
            </w:r>
          </w:p>
        </w:tc>
        <w:tc>
          <w:tcPr>
            <w:tcW w:w="732" w:type="dxa"/>
            <w:vAlign w:val="center"/>
          </w:tcPr>
          <w:p w14:paraId="6A245949"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w:t>
            </w:r>
          </w:p>
        </w:tc>
        <w:tc>
          <w:tcPr>
            <w:tcW w:w="1704" w:type="dxa"/>
            <w:vAlign w:val="center"/>
          </w:tcPr>
          <w:p w14:paraId="0F822D99"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5mg</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m3</w:t>
            </w:r>
          </w:p>
        </w:tc>
        <w:tc>
          <w:tcPr>
            <w:tcW w:w="2844" w:type="dxa"/>
            <w:vAlign w:val="center"/>
          </w:tcPr>
          <w:p w14:paraId="101C058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0.10~1.00</w:t>
            </w:r>
            <w:r>
              <w:rPr>
                <w:rFonts w:asciiTheme="majorEastAsia" w:eastAsiaTheme="majorEastAsia" w:hAnsiTheme="majorEastAsia" w:cs="宋体"/>
                <w:color w:val="000000"/>
                <w:kern w:val="0"/>
                <w:szCs w:val="21"/>
                <w:lang w:bidi="ar"/>
              </w:rPr>
              <w:t>mg</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m3</w:t>
            </w:r>
            <w:r>
              <w:rPr>
                <w:rFonts w:asciiTheme="majorEastAsia" w:eastAsiaTheme="majorEastAsia" w:hAnsiTheme="majorEastAsia" w:cs="宋体" w:hint="eastAsia"/>
                <w:color w:val="000000"/>
                <w:kern w:val="0"/>
                <w:szCs w:val="21"/>
                <w:lang w:bidi="ar"/>
              </w:rPr>
              <w:t>时绝对误差</w:t>
            </w:r>
          </w:p>
          <w:p w14:paraId="1E0CAF5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不超过±0.1</w:t>
            </w:r>
            <w:r>
              <w:rPr>
                <w:rFonts w:asciiTheme="majorEastAsia" w:eastAsiaTheme="majorEastAsia" w:hAnsiTheme="majorEastAsia" w:cs="宋体"/>
                <w:color w:val="000000"/>
                <w:kern w:val="0"/>
                <w:szCs w:val="21"/>
                <w:lang w:bidi="ar"/>
              </w:rPr>
              <w:t>mg</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m</w:t>
            </w:r>
            <w:r>
              <w:rPr>
                <w:rFonts w:asciiTheme="majorEastAsia" w:eastAsiaTheme="majorEastAsia" w:hAnsiTheme="majorEastAsia" w:cs="宋体" w:hint="eastAsia"/>
                <w:color w:val="000000"/>
                <w:kern w:val="0"/>
                <w:szCs w:val="21"/>
                <w:lang w:bidi="ar"/>
              </w:rPr>
              <w:t>；1.00~10.00</w:t>
            </w:r>
            <w:r>
              <w:rPr>
                <w:rFonts w:asciiTheme="majorEastAsia" w:eastAsiaTheme="majorEastAsia" w:hAnsiTheme="majorEastAsia" w:cs="宋体"/>
                <w:color w:val="000000"/>
                <w:kern w:val="0"/>
                <w:szCs w:val="21"/>
                <w:lang w:bidi="ar"/>
              </w:rPr>
              <w:t>mg</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m3</w:t>
            </w:r>
            <w:r>
              <w:rPr>
                <w:rFonts w:asciiTheme="majorEastAsia" w:eastAsiaTheme="majorEastAsia" w:hAnsiTheme="majorEastAsia" w:cs="宋体" w:hint="eastAsia"/>
                <w:color w:val="000000"/>
                <w:kern w:val="0"/>
                <w:szCs w:val="21"/>
                <w:lang w:bidi="ar"/>
              </w:rPr>
              <w:t>时相对误差</w:t>
            </w:r>
          </w:p>
          <w:p w14:paraId="67AF3EE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w:t>
            </w:r>
            <w:r>
              <w:rPr>
                <w:rFonts w:asciiTheme="majorEastAsia" w:eastAsiaTheme="majorEastAsia" w:hAnsiTheme="majorEastAsia" w:cs="宋体"/>
                <w:color w:val="000000"/>
                <w:kern w:val="0"/>
                <w:szCs w:val="21"/>
                <w:lang w:bidi="ar"/>
              </w:rPr>
              <w:t>20</w:t>
            </w:r>
            <w:r>
              <w:rPr>
                <w:rFonts w:asciiTheme="majorEastAsia" w:eastAsiaTheme="majorEastAsia" w:hAnsiTheme="majorEastAsia" w:cs="宋体" w:hint="eastAsia"/>
                <w:color w:val="000000"/>
                <w:kern w:val="0"/>
                <w:szCs w:val="21"/>
                <w:lang w:bidi="ar"/>
              </w:rPr>
              <w:t>%。</w:t>
            </w:r>
          </w:p>
        </w:tc>
        <w:tc>
          <w:tcPr>
            <w:tcW w:w="720" w:type="dxa"/>
            <w:vAlign w:val="center"/>
          </w:tcPr>
          <w:p w14:paraId="490DC4E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20" w:type="dxa"/>
            <w:vAlign w:val="center"/>
          </w:tcPr>
          <w:p w14:paraId="3048356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5D357593"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1056" w:type="dxa"/>
            <w:vAlign w:val="center"/>
          </w:tcPr>
          <w:p w14:paraId="66EC7B5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至少覆盖</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01</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10</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00mg</w:t>
            </w: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m3</w:t>
            </w:r>
          </w:p>
          <w:p w14:paraId="1944AAE0" w14:textId="77777777" w:rsidR="00094034" w:rsidRDefault="00094034">
            <w:pPr>
              <w:widowControl/>
              <w:spacing w:line="360" w:lineRule="auto"/>
              <w:jc w:val="left"/>
              <w:rPr>
                <w:rFonts w:asciiTheme="majorEastAsia" w:eastAsiaTheme="majorEastAsia" w:hAnsiTheme="majorEastAsia" w:cs="宋体" w:hint="eastAsia"/>
                <w:color w:val="000000"/>
                <w:kern w:val="0"/>
                <w:szCs w:val="21"/>
                <w:lang w:bidi="ar"/>
              </w:rPr>
            </w:pPr>
          </w:p>
        </w:tc>
        <w:tc>
          <w:tcPr>
            <w:tcW w:w="960" w:type="dxa"/>
            <w:vAlign w:val="center"/>
          </w:tcPr>
          <w:p w14:paraId="7A5C06E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37828AB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56" w:type="dxa"/>
            <w:vAlign w:val="center"/>
          </w:tcPr>
          <w:p w14:paraId="26114A0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86" w:type="dxa"/>
            <w:vAlign w:val="center"/>
          </w:tcPr>
          <w:p w14:paraId="0050DDF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r>
      <w:tr w:rsidR="00094034" w14:paraId="258C6C7E" w14:textId="77777777">
        <w:trPr>
          <w:trHeight w:val="870"/>
        </w:trPr>
        <w:tc>
          <w:tcPr>
            <w:tcW w:w="552" w:type="dxa"/>
            <w:vAlign w:val="center"/>
          </w:tcPr>
          <w:p w14:paraId="0774F7F0"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6</w:t>
            </w:r>
          </w:p>
        </w:tc>
        <w:tc>
          <w:tcPr>
            <w:tcW w:w="588" w:type="dxa"/>
            <w:vAlign w:val="center"/>
          </w:tcPr>
          <w:p w14:paraId="2D587972"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安徽</w:t>
            </w:r>
          </w:p>
        </w:tc>
        <w:tc>
          <w:tcPr>
            <w:tcW w:w="2070" w:type="dxa"/>
            <w:vAlign w:val="center"/>
          </w:tcPr>
          <w:p w14:paraId="3637DA4A"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餐饮油烟排放连续在线监测技术规范</w:t>
            </w:r>
          </w:p>
          <w:p w14:paraId="17BE147D"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（T/AHEMA 20—2022）</w:t>
            </w:r>
          </w:p>
        </w:tc>
        <w:tc>
          <w:tcPr>
            <w:tcW w:w="732" w:type="dxa"/>
            <w:vAlign w:val="center"/>
          </w:tcPr>
          <w:p w14:paraId="7224BD73"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油烟、颗粒物、非甲烷总烃</w:t>
            </w:r>
          </w:p>
        </w:tc>
        <w:tc>
          <w:tcPr>
            <w:tcW w:w="1704" w:type="dxa"/>
            <w:vAlign w:val="center"/>
          </w:tcPr>
          <w:p w14:paraId="0684CDE8"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不超过±0.5mg/m³</w:t>
            </w:r>
          </w:p>
          <w:p w14:paraId="2FDBEAC4" w14:textId="77777777" w:rsidR="00094034" w:rsidRDefault="00094034">
            <w:pPr>
              <w:widowControl/>
              <w:spacing w:line="360" w:lineRule="auto"/>
              <w:jc w:val="left"/>
              <w:rPr>
                <w:rFonts w:asciiTheme="majorEastAsia" w:eastAsiaTheme="majorEastAsia" w:hAnsiTheme="majorEastAsia" w:cs="宋体" w:hint="eastAsia"/>
                <w:color w:val="000000"/>
                <w:kern w:val="0"/>
                <w:szCs w:val="21"/>
                <w:lang w:bidi="ar"/>
              </w:rPr>
            </w:pPr>
          </w:p>
        </w:tc>
        <w:tc>
          <w:tcPr>
            <w:tcW w:w="2844" w:type="dxa"/>
            <w:vAlign w:val="center"/>
          </w:tcPr>
          <w:p w14:paraId="22CA1E7F"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油烟：浓度≤1.0</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3，绝对误差≤±</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2</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3；浓度&gt;1.0</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3，相对误差≤±30%。</w:t>
            </w:r>
          </w:p>
          <w:p w14:paraId="3F00B7F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 xml:space="preserve">颗粒物：≤10mg/m³，绝对误差不超过±5mg/m³。 </w:t>
            </w:r>
          </w:p>
          <w:p w14:paraId="199D6F2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 xml:space="preserve">10mg/m³＜排放浓度≤20mg/m³，绝对误差不超过±6mg/m³。 </w:t>
            </w:r>
          </w:p>
          <w:p w14:paraId="47BE9D9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20mg/m³＜排放浓度≤50mg/m³，相对误差不超过±30%。</w:t>
            </w:r>
          </w:p>
          <w:p w14:paraId="76AF681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非甲烷总烃：≤</w:t>
            </w:r>
            <w:r>
              <w:rPr>
                <w:rFonts w:asciiTheme="majorEastAsia" w:eastAsiaTheme="majorEastAsia" w:hAnsiTheme="majorEastAsia" w:cs="宋体"/>
                <w:color w:val="000000"/>
                <w:kern w:val="0"/>
                <w:szCs w:val="21"/>
                <w:lang w:bidi="ar"/>
              </w:rPr>
              <w:t>±</w:t>
            </w:r>
            <w:r>
              <w:rPr>
                <w:rFonts w:asciiTheme="majorEastAsia" w:eastAsiaTheme="majorEastAsia" w:hAnsiTheme="majorEastAsia" w:cs="宋体" w:hint="eastAsia"/>
                <w:color w:val="000000"/>
                <w:kern w:val="0"/>
                <w:szCs w:val="21"/>
                <w:lang w:bidi="ar"/>
              </w:rPr>
              <w:t>20%</w:t>
            </w:r>
          </w:p>
        </w:tc>
        <w:tc>
          <w:tcPr>
            <w:tcW w:w="720" w:type="dxa"/>
            <w:vAlign w:val="center"/>
          </w:tcPr>
          <w:p w14:paraId="42391ED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20" w:type="dxa"/>
            <w:vAlign w:val="center"/>
          </w:tcPr>
          <w:p w14:paraId="2460C18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2EEDEE7A"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1056" w:type="dxa"/>
            <w:vAlign w:val="center"/>
          </w:tcPr>
          <w:p w14:paraId="78E29742"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960" w:type="dxa"/>
            <w:vAlign w:val="center"/>
          </w:tcPr>
          <w:p w14:paraId="27D1B01F"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325E538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56" w:type="dxa"/>
            <w:vAlign w:val="center"/>
          </w:tcPr>
          <w:p w14:paraId="67B739B5"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86" w:type="dxa"/>
            <w:vAlign w:val="center"/>
          </w:tcPr>
          <w:p w14:paraId="7B2DC285"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r>
      <w:tr w:rsidR="00094034" w14:paraId="6ABF1140" w14:textId="77777777">
        <w:trPr>
          <w:trHeight w:val="846"/>
        </w:trPr>
        <w:tc>
          <w:tcPr>
            <w:tcW w:w="552" w:type="dxa"/>
            <w:vAlign w:val="center"/>
          </w:tcPr>
          <w:p w14:paraId="172AE123"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7</w:t>
            </w:r>
          </w:p>
        </w:tc>
        <w:tc>
          <w:tcPr>
            <w:tcW w:w="588" w:type="dxa"/>
            <w:vAlign w:val="center"/>
          </w:tcPr>
          <w:p w14:paraId="630BBA8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山东</w:t>
            </w:r>
          </w:p>
        </w:tc>
        <w:tc>
          <w:tcPr>
            <w:tcW w:w="2070" w:type="dxa"/>
            <w:vAlign w:val="center"/>
          </w:tcPr>
          <w:p w14:paraId="53FEC8F2"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餐饮油烟在线监测系统技术规范</w:t>
            </w:r>
          </w:p>
          <w:p w14:paraId="706FBCD6"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（T/SDSES 010-2023）</w:t>
            </w:r>
          </w:p>
        </w:tc>
        <w:tc>
          <w:tcPr>
            <w:tcW w:w="732" w:type="dxa"/>
            <w:vAlign w:val="center"/>
          </w:tcPr>
          <w:p w14:paraId="09AC3E2E"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油烟、颗粒物、非甲</w:t>
            </w:r>
            <w:r>
              <w:rPr>
                <w:rFonts w:asciiTheme="majorEastAsia" w:eastAsiaTheme="majorEastAsia" w:hAnsiTheme="majorEastAsia" w:cs="宋体" w:hint="eastAsia"/>
                <w:color w:val="000000"/>
                <w:kern w:val="0"/>
                <w:szCs w:val="21"/>
                <w:lang w:bidi="ar"/>
              </w:rPr>
              <w:lastRenderedPageBreak/>
              <w:t>烷总烃</w:t>
            </w:r>
          </w:p>
        </w:tc>
        <w:tc>
          <w:tcPr>
            <w:tcW w:w="1704" w:type="dxa"/>
            <w:vAlign w:val="center"/>
          </w:tcPr>
          <w:p w14:paraId="2FDA157F"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不超过±0.5mg/m³</w:t>
            </w:r>
          </w:p>
          <w:p w14:paraId="5C77781C" w14:textId="77777777" w:rsidR="00094034" w:rsidRDefault="00094034">
            <w:pPr>
              <w:widowControl/>
              <w:spacing w:line="360" w:lineRule="auto"/>
              <w:jc w:val="left"/>
              <w:rPr>
                <w:rFonts w:asciiTheme="majorEastAsia" w:eastAsiaTheme="majorEastAsia" w:hAnsiTheme="majorEastAsia" w:cs="宋体" w:hint="eastAsia"/>
                <w:color w:val="000000"/>
                <w:kern w:val="0"/>
                <w:szCs w:val="21"/>
                <w:lang w:bidi="ar"/>
              </w:rPr>
            </w:pPr>
          </w:p>
        </w:tc>
        <w:tc>
          <w:tcPr>
            <w:tcW w:w="2844" w:type="dxa"/>
            <w:vAlign w:val="center"/>
          </w:tcPr>
          <w:p w14:paraId="6E47B53E"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油烟：浓度≤1.0</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3，绝对误差≤±</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2</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3；浓度&gt;1.0</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3，相对误差≤±20%。</w:t>
            </w:r>
          </w:p>
          <w:p w14:paraId="5000FB04"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 xml:space="preserve">颗粒物： </w:t>
            </w:r>
          </w:p>
          <w:p w14:paraId="50AAAD15"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 xml:space="preserve">≤10mg/m³，绝对误差不超过±5mg/m³。 </w:t>
            </w:r>
          </w:p>
          <w:p w14:paraId="3EBED64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 xml:space="preserve">10mg/m³＜排放浓度≤20mg/m³，绝对误差不超过±6mg/m³。 </w:t>
            </w:r>
          </w:p>
          <w:p w14:paraId="3A2FE904"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20mg/m³＜排放浓度≤50mg/m³，相对误差不超过±30%。</w:t>
            </w:r>
          </w:p>
          <w:p w14:paraId="5B0B1C43" w14:textId="77777777" w:rsidR="00094034" w:rsidRDefault="00094034">
            <w:pPr>
              <w:widowControl/>
              <w:spacing w:line="360" w:lineRule="auto"/>
              <w:jc w:val="left"/>
              <w:rPr>
                <w:rFonts w:asciiTheme="majorEastAsia" w:eastAsiaTheme="majorEastAsia" w:hAnsiTheme="majorEastAsia" w:cs="宋体" w:hint="eastAsia"/>
                <w:color w:val="000000"/>
                <w:kern w:val="0"/>
                <w:szCs w:val="21"/>
                <w:lang w:bidi="ar"/>
              </w:rPr>
            </w:pPr>
          </w:p>
          <w:p w14:paraId="5448201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 xml:space="preserve">非甲烷总烃：排放浓度＜50 </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3，绝对误差不超过±10</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 xml:space="preserve">3；排放浓度≥50 </w:t>
            </w:r>
            <w:r>
              <w:rPr>
                <w:rFonts w:asciiTheme="majorEastAsia" w:eastAsiaTheme="majorEastAsia" w:hAnsiTheme="majorEastAsia" w:cs="宋体"/>
                <w:color w:val="000000"/>
                <w:kern w:val="0"/>
                <w:szCs w:val="21"/>
                <w:lang w:bidi="ar"/>
              </w:rPr>
              <w:t>mg/m</w:t>
            </w:r>
            <w:r>
              <w:rPr>
                <w:rFonts w:asciiTheme="majorEastAsia" w:eastAsiaTheme="majorEastAsia" w:hAnsiTheme="majorEastAsia" w:cs="宋体" w:hint="eastAsia"/>
                <w:color w:val="000000"/>
                <w:kern w:val="0"/>
                <w:szCs w:val="21"/>
                <w:lang w:bidi="ar"/>
              </w:rPr>
              <w:t>3</w:t>
            </w:r>
          </w:p>
          <w:p w14:paraId="6E02EAF7"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，相对准确度不超过±40%。</w:t>
            </w:r>
          </w:p>
        </w:tc>
        <w:tc>
          <w:tcPr>
            <w:tcW w:w="720" w:type="dxa"/>
            <w:vAlign w:val="center"/>
          </w:tcPr>
          <w:p w14:paraId="00FCE7D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w:t>
            </w:r>
          </w:p>
        </w:tc>
        <w:tc>
          <w:tcPr>
            <w:tcW w:w="720" w:type="dxa"/>
            <w:vAlign w:val="center"/>
          </w:tcPr>
          <w:p w14:paraId="0155E79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57A1405A"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1056" w:type="dxa"/>
            <w:vAlign w:val="center"/>
          </w:tcPr>
          <w:p w14:paraId="602E9525"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960" w:type="dxa"/>
            <w:vAlign w:val="center"/>
          </w:tcPr>
          <w:p w14:paraId="761C92DE"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413B341A"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56" w:type="dxa"/>
            <w:vAlign w:val="center"/>
          </w:tcPr>
          <w:p w14:paraId="174AA13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86" w:type="dxa"/>
            <w:vAlign w:val="center"/>
          </w:tcPr>
          <w:p w14:paraId="25167CD1"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r>
      <w:tr w:rsidR="00094034" w14:paraId="71C588A9" w14:textId="77777777">
        <w:trPr>
          <w:trHeight w:val="638"/>
        </w:trPr>
        <w:tc>
          <w:tcPr>
            <w:tcW w:w="552" w:type="dxa"/>
            <w:vAlign w:val="center"/>
          </w:tcPr>
          <w:p w14:paraId="3F05AE59"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8</w:t>
            </w:r>
          </w:p>
        </w:tc>
        <w:tc>
          <w:tcPr>
            <w:tcW w:w="588" w:type="dxa"/>
            <w:vAlign w:val="center"/>
          </w:tcPr>
          <w:p w14:paraId="57FE6DF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浙江</w:t>
            </w:r>
          </w:p>
        </w:tc>
        <w:tc>
          <w:tcPr>
            <w:tcW w:w="2070" w:type="dxa"/>
            <w:vAlign w:val="center"/>
          </w:tcPr>
          <w:p w14:paraId="56CD6A35"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餐饮油烟在线监测仪</w:t>
            </w:r>
          </w:p>
          <w:p w14:paraId="2170460D"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（T/ZS 0406-2022）</w:t>
            </w:r>
          </w:p>
        </w:tc>
        <w:tc>
          <w:tcPr>
            <w:tcW w:w="732" w:type="dxa"/>
            <w:vAlign w:val="center"/>
          </w:tcPr>
          <w:p w14:paraId="6B3C2F8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油烟、颗粒物</w:t>
            </w:r>
          </w:p>
        </w:tc>
        <w:tc>
          <w:tcPr>
            <w:tcW w:w="1704" w:type="dxa"/>
            <w:vAlign w:val="center"/>
          </w:tcPr>
          <w:p w14:paraId="7EF8EAFE"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不超过±0.2mg/m³</w:t>
            </w:r>
          </w:p>
        </w:tc>
        <w:tc>
          <w:tcPr>
            <w:tcW w:w="2844" w:type="dxa"/>
            <w:vAlign w:val="center"/>
          </w:tcPr>
          <w:p w14:paraId="2E5C0A1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不超过±20%</w:t>
            </w:r>
          </w:p>
        </w:tc>
        <w:tc>
          <w:tcPr>
            <w:tcW w:w="720" w:type="dxa"/>
            <w:vAlign w:val="center"/>
          </w:tcPr>
          <w:p w14:paraId="1BFBB28E"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≤10s</w:t>
            </w:r>
          </w:p>
        </w:tc>
        <w:tc>
          <w:tcPr>
            <w:tcW w:w="720" w:type="dxa"/>
            <w:vAlign w:val="center"/>
          </w:tcPr>
          <w:p w14:paraId="21FDACC8"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≤10%</w:t>
            </w:r>
          </w:p>
        </w:tc>
        <w:tc>
          <w:tcPr>
            <w:tcW w:w="792" w:type="dxa"/>
            <w:vAlign w:val="center"/>
          </w:tcPr>
          <w:p w14:paraId="1BDA3B2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1056" w:type="dxa"/>
            <w:vAlign w:val="center"/>
          </w:tcPr>
          <w:p w14:paraId="1E1C912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  (0-10) mg/m³ ，</w:t>
            </w:r>
          </w:p>
          <w:p w14:paraId="48FA39C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颗粒物：  (0-50) mg/m³</w:t>
            </w:r>
          </w:p>
        </w:tc>
        <w:tc>
          <w:tcPr>
            <w:tcW w:w="960" w:type="dxa"/>
            <w:vAlign w:val="center"/>
          </w:tcPr>
          <w:p w14:paraId="428827C4"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lastRenderedPageBreak/>
              <w:t>不超过±20%</w:t>
            </w:r>
          </w:p>
        </w:tc>
        <w:tc>
          <w:tcPr>
            <w:tcW w:w="792" w:type="dxa"/>
            <w:vAlign w:val="center"/>
          </w:tcPr>
          <w:p w14:paraId="7C6A702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不超过±0.5mg/m³</w:t>
            </w:r>
          </w:p>
        </w:tc>
        <w:tc>
          <w:tcPr>
            <w:tcW w:w="756" w:type="dxa"/>
            <w:vAlign w:val="center"/>
          </w:tcPr>
          <w:p w14:paraId="1A5E76B8"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不超过±20%</w:t>
            </w:r>
          </w:p>
        </w:tc>
        <w:tc>
          <w:tcPr>
            <w:tcW w:w="786" w:type="dxa"/>
            <w:vAlign w:val="center"/>
          </w:tcPr>
          <w:p w14:paraId="34FD3ACD"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≤0.2mg/m³</w:t>
            </w:r>
          </w:p>
        </w:tc>
      </w:tr>
      <w:tr w:rsidR="00094034" w14:paraId="287A62F7" w14:textId="77777777">
        <w:trPr>
          <w:trHeight w:val="638"/>
        </w:trPr>
        <w:tc>
          <w:tcPr>
            <w:tcW w:w="552" w:type="dxa"/>
            <w:vAlign w:val="center"/>
          </w:tcPr>
          <w:p w14:paraId="4218B275"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9</w:t>
            </w:r>
          </w:p>
        </w:tc>
        <w:tc>
          <w:tcPr>
            <w:tcW w:w="588" w:type="dxa"/>
            <w:vAlign w:val="center"/>
          </w:tcPr>
          <w:p w14:paraId="4882FE1B"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杭州</w:t>
            </w:r>
          </w:p>
        </w:tc>
        <w:tc>
          <w:tcPr>
            <w:tcW w:w="2070" w:type="dxa"/>
            <w:vAlign w:val="center"/>
          </w:tcPr>
          <w:p w14:paraId="645B3636"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餐饮油烟、颗粒物在线监测仪</w:t>
            </w:r>
            <w:r>
              <w:rPr>
                <w:rFonts w:asciiTheme="majorEastAsia" w:eastAsiaTheme="majorEastAsia" w:hAnsiTheme="majorEastAsia" w:cs="宋体"/>
                <w:color w:val="000000"/>
                <w:kern w:val="0"/>
                <w:szCs w:val="21"/>
                <w:lang w:bidi="ar"/>
              </w:rPr>
              <w:t>（光散射法）</w:t>
            </w:r>
            <w:r>
              <w:rPr>
                <w:rFonts w:asciiTheme="majorEastAsia" w:eastAsiaTheme="majorEastAsia" w:hAnsiTheme="majorEastAsia" w:cs="宋体" w:hint="eastAsia"/>
                <w:color w:val="000000"/>
                <w:kern w:val="0"/>
                <w:szCs w:val="21"/>
                <w:lang w:bidi="ar"/>
              </w:rPr>
              <w:t>技术要求及测量</w:t>
            </w:r>
            <w:r>
              <w:rPr>
                <w:rFonts w:asciiTheme="majorEastAsia" w:eastAsiaTheme="majorEastAsia" w:hAnsiTheme="majorEastAsia" w:cs="宋体"/>
                <w:color w:val="000000"/>
                <w:kern w:val="0"/>
                <w:szCs w:val="21"/>
                <w:lang w:bidi="ar"/>
              </w:rPr>
              <w:t>方法</w:t>
            </w:r>
          </w:p>
          <w:p w14:paraId="1A3B9EBF" w14:textId="77777777" w:rsidR="00094034" w:rsidRDefault="00000000">
            <w:pPr>
              <w:widowControl/>
              <w:spacing w:line="360" w:lineRule="auto"/>
              <w:jc w:val="center"/>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T/</w:t>
            </w:r>
            <w:r>
              <w:rPr>
                <w:rFonts w:asciiTheme="majorEastAsia" w:eastAsiaTheme="majorEastAsia" w:hAnsiTheme="majorEastAsia" w:cs="宋体" w:hint="eastAsia"/>
                <w:color w:val="000000"/>
                <w:kern w:val="0"/>
                <w:szCs w:val="21"/>
                <w:lang w:bidi="ar"/>
              </w:rPr>
              <w:t>HZSM</w:t>
            </w:r>
            <w:r>
              <w:rPr>
                <w:rFonts w:asciiTheme="majorEastAsia" w:eastAsiaTheme="majorEastAsia" w:hAnsiTheme="majorEastAsia" w:cs="宋体"/>
                <w:color w:val="000000"/>
                <w:kern w:val="0"/>
                <w:szCs w:val="21"/>
                <w:lang w:bidi="ar"/>
              </w:rPr>
              <w:t xml:space="preserve"> </w:t>
            </w:r>
            <w:r>
              <w:rPr>
                <w:rFonts w:asciiTheme="majorEastAsia" w:eastAsiaTheme="majorEastAsia" w:hAnsiTheme="majorEastAsia" w:cs="宋体" w:hint="eastAsia"/>
                <w:color w:val="000000"/>
                <w:kern w:val="0"/>
                <w:szCs w:val="21"/>
                <w:lang w:bidi="ar"/>
              </w:rPr>
              <w:t>0001</w:t>
            </w:r>
            <w:r>
              <w:rPr>
                <w:rFonts w:asciiTheme="majorEastAsia" w:eastAsiaTheme="majorEastAsia" w:hAnsiTheme="majorEastAsia" w:cs="宋体"/>
                <w:color w:val="000000"/>
                <w:kern w:val="0"/>
                <w:szCs w:val="21"/>
                <w:lang w:bidi="ar"/>
              </w:rPr>
              <w:t>-</w:t>
            </w:r>
            <w:r>
              <w:rPr>
                <w:rFonts w:asciiTheme="majorEastAsia" w:eastAsiaTheme="majorEastAsia" w:hAnsiTheme="majorEastAsia" w:cs="宋体" w:hint="eastAsia"/>
                <w:color w:val="000000"/>
                <w:kern w:val="0"/>
                <w:szCs w:val="21"/>
                <w:lang w:bidi="ar"/>
              </w:rPr>
              <w:t>2022）</w:t>
            </w:r>
          </w:p>
        </w:tc>
        <w:tc>
          <w:tcPr>
            <w:tcW w:w="732" w:type="dxa"/>
            <w:vAlign w:val="center"/>
          </w:tcPr>
          <w:p w14:paraId="7C45B2CA"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油烟、颗粒物</w:t>
            </w:r>
          </w:p>
        </w:tc>
        <w:tc>
          <w:tcPr>
            <w:tcW w:w="1704" w:type="dxa"/>
            <w:vAlign w:val="center"/>
          </w:tcPr>
          <w:p w14:paraId="18E8F26F"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0.</w:t>
            </w:r>
            <w:r>
              <w:rPr>
                <w:rFonts w:asciiTheme="majorEastAsia" w:eastAsiaTheme="majorEastAsia" w:hAnsiTheme="majorEastAsia" w:cs="宋体" w:hint="eastAsia"/>
                <w:color w:val="000000"/>
                <w:kern w:val="0"/>
                <w:szCs w:val="21"/>
                <w:lang w:bidi="ar"/>
              </w:rPr>
              <w:t>2</w:t>
            </w:r>
            <w:r>
              <w:rPr>
                <w:rFonts w:asciiTheme="majorEastAsia" w:eastAsiaTheme="majorEastAsia" w:hAnsiTheme="majorEastAsia" w:cs="宋体"/>
                <w:color w:val="000000"/>
                <w:kern w:val="0"/>
                <w:szCs w:val="21"/>
                <w:lang w:bidi="ar"/>
              </w:rPr>
              <w:t>mg/m3</w:t>
            </w:r>
          </w:p>
        </w:tc>
        <w:tc>
          <w:tcPr>
            <w:tcW w:w="2844" w:type="dxa"/>
            <w:vAlign w:val="center"/>
          </w:tcPr>
          <w:p w14:paraId="3BA95A53"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±20%</w:t>
            </w:r>
          </w:p>
        </w:tc>
        <w:tc>
          <w:tcPr>
            <w:tcW w:w="720" w:type="dxa"/>
            <w:vAlign w:val="center"/>
          </w:tcPr>
          <w:p w14:paraId="6AFAFF5C"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30s</w:t>
            </w:r>
          </w:p>
        </w:tc>
        <w:tc>
          <w:tcPr>
            <w:tcW w:w="720" w:type="dxa"/>
            <w:vAlign w:val="center"/>
          </w:tcPr>
          <w:p w14:paraId="3A236B20"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±10%</w:t>
            </w:r>
          </w:p>
        </w:tc>
        <w:tc>
          <w:tcPr>
            <w:tcW w:w="792" w:type="dxa"/>
            <w:vAlign w:val="center"/>
          </w:tcPr>
          <w:p w14:paraId="7BD18A74"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8%</w:t>
            </w:r>
          </w:p>
        </w:tc>
        <w:tc>
          <w:tcPr>
            <w:tcW w:w="1056" w:type="dxa"/>
            <w:vAlign w:val="center"/>
          </w:tcPr>
          <w:p w14:paraId="30B9908F"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960" w:type="dxa"/>
            <w:vAlign w:val="center"/>
          </w:tcPr>
          <w:p w14:paraId="59EB80B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92" w:type="dxa"/>
            <w:vAlign w:val="center"/>
          </w:tcPr>
          <w:p w14:paraId="3AB599E3"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p>
        </w:tc>
        <w:tc>
          <w:tcPr>
            <w:tcW w:w="756" w:type="dxa"/>
            <w:vAlign w:val="center"/>
          </w:tcPr>
          <w:p w14:paraId="63DD7626"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±20%</w:t>
            </w:r>
          </w:p>
        </w:tc>
        <w:tc>
          <w:tcPr>
            <w:tcW w:w="786" w:type="dxa"/>
            <w:vAlign w:val="center"/>
          </w:tcPr>
          <w:p w14:paraId="420A8418" w14:textId="77777777" w:rsidR="00094034" w:rsidRDefault="00000000">
            <w:pPr>
              <w:widowControl/>
              <w:spacing w:line="360" w:lineRule="auto"/>
              <w:jc w:val="left"/>
              <w:rPr>
                <w:rFonts w:asciiTheme="majorEastAsia" w:eastAsiaTheme="majorEastAsia" w:hAnsiTheme="majorEastAsia" w:cs="宋体" w:hint="eastAsia"/>
                <w:color w:val="000000"/>
                <w:kern w:val="0"/>
                <w:szCs w:val="21"/>
                <w:lang w:bidi="ar"/>
              </w:rPr>
            </w:pPr>
            <w:r>
              <w:rPr>
                <w:rFonts w:asciiTheme="majorEastAsia" w:eastAsiaTheme="majorEastAsia" w:hAnsiTheme="majorEastAsia" w:cs="宋体" w:hint="eastAsia"/>
                <w:color w:val="000000"/>
                <w:kern w:val="0"/>
                <w:szCs w:val="21"/>
                <w:lang w:bidi="ar"/>
              </w:rPr>
              <w:t>≤</w:t>
            </w:r>
            <w:r>
              <w:rPr>
                <w:rFonts w:asciiTheme="majorEastAsia" w:eastAsiaTheme="majorEastAsia" w:hAnsiTheme="majorEastAsia" w:cs="宋体"/>
                <w:color w:val="000000"/>
                <w:kern w:val="0"/>
                <w:szCs w:val="21"/>
                <w:lang w:bidi="ar"/>
              </w:rPr>
              <w:t>0.2mg/m³</w:t>
            </w:r>
          </w:p>
        </w:tc>
      </w:tr>
    </w:tbl>
    <w:p w14:paraId="7A3353D3" w14:textId="77777777" w:rsidR="00094034" w:rsidRDefault="00094034">
      <w:pPr>
        <w:spacing w:line="360" w:lineRule="auto"/>
        <w:rPr>
          <w:rFonts w:asciiTheme="majorEastAsia" w:eastAsiaTheme="majorEastAsia" w:hAnsiTheme="majorEastAsia" w:cs="宋体" w:hint="eastAsia"/>
          <w:sz w:val="24"/>
        </w:rPr>
      </w:pPr>
    </w:p>
    <w:p w14:paraId="1E23CB67" w14:textId="77777777" w:rsidR="00094034" w:rsidRDefault="00094034">
      <w:pPr>
        <w:spacing w:line="360" w:lineRule="auto"/>
        <w:rPr>
          <w:rFonts w:asciiTheme="majorEastAsia" w:eastAsiaTheme="majorEastAsia" w:hAnsiTheme="majorEastAsia" w:cs="宋体" w:hint="eastAsia"/>
          <w:sz w:val="24"/>
        </w:rPr>
      </w:pPr>
    </w:p>
    <w:p w14:paraId="5E3EEABC" w14:textId="77777777" w:rsidR="00094034" w:rsidRDefault="00094034">
      <w:pPr>
        <w:spacing w:line="360" w:lineRule="auto"/>
        <w:rPr>
          <w:rFonts w:asciiTheme="majorEastAsia" w:eastAsiaTheme="majorEastAsia" w:hAnsiTheme="majorEastAsia" w:cs="宋体" w:hint="eastAsia"/>
          <w:sz w:val="24"/>
        </w:rPr>
      </w:pPr>
    </w:p>
    <w:p w14:paraId="2EC0109B" w14:textId="77777777" w:rsidR="00094034" w:rsidRDefault="00094034">
      <w:pPr>
        <w:spacing w:line="360" w:lineRule="auto"/>
        <w:rPr>
          <w:rFonts w:asciiTheme="majorEastAsia" w:eastAsiaTheme="majorEastAsia" w:hAnsiTheme="majorEastAsia" w:cs="宋体" w:hint="eastAsia"/>
          <w:sz w:val="24"/>
        </w:rPr>
        <w:sectPr w:rsidR="00094034">
          <w:pgSz w:w="16838" w:h="11906" w:orient="landscape"/>
          <w:pgMar w:top="1803" w:right="1440" w:bottom="1803" w:left="1440" w:header="851" w:footer="992" w:gutter="0"/>
          <w:cols w:space="0"/>
          <w:docGrid w:type="lines" w:linePitch="319"/>
        </w:sectPr>
      </w:pPr>
    </w:p>
    <w:p w14:paraId="1949C9C7"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lastRenderedPageBreak/>
        <w:t>七、在标准体系中的位置，与现行相关法律、法规、规章及相关标准，特别是强制性标准的协调性</w:t>
      </w:r>
    </w:p>
    <w:p w14:paraId="3ECE8500"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本专业领域的标准体系框架如图</w:t>
      </w:r>
    </w:p>
    <w:p w14:paraId="13D12333"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noProof/>
          <w:sz w:val="24"/>
        </w:rPr>
        <w:drawing>
          <wp:inline distT="0" distB="0" distL="0" distR="0" wp14:anchorId="04B9E574" wp14:editId="6AA456B9">
            <wp:extent cx="5270500" cy="3155315"/>
            <wp:effectExtent l="0" t="0" r="2540" b="14605"/>
            <wp:docPr id="1833982175" name="图片 183398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82175" name="图片 183398217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270500" cy="3155477"/>
                    </a:xfrm>
                    <a:prstGeom prst="rect">
                      <a:avLst/>
                    </a:prstGeom>
                    <a:noFill/>
                    <a:ln>
                      <a:noFill/>
                    </a:ln>
                    <a:effectLst/>
                  </pic:spPr>
                </pic:pic>
              </a:graphicData>
            </a:graphic>
          </wp:inline>
        </w:drawing>
      </w:r>
    </w:p>
    <w:p w14:paraId="594018F8" w14:textId="77777777" w:rsidR="00094034" w:rsidRDefault="00094034">
      <w:pPr>
        <w:rPr>
          <w:rFonts w:asciiTheme="majorEastAsia" w:eastAsiaTheme="majorEastAsia" w:hAnsiTheme="majorEastAsia" w:hint="eastAsia"/>
          <w:sz w:val="24"/>
        </w:rPr>
      </w:pPr>
    </w:p>
    <w:p w14:paraId="0B0AB9D7"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本文件属于工业过程测量和控制大类，分析仪器标准体系，</w:t>
      </w:r>
      <w:r>
        <w:rPr>
          <w:rFonts w:asciiTheme="majorEastAsia" w:eastAsiaTheme="majorEastAsia" w:hAnsiTheme="majorEastAsia" w:hint="eastAsia"/>
          <w:sz w:val="24"/>
        </w:rPr>
        <w:t>12在线分析仪器类。</w:t>
      </w:r>
    </w:p>
    <w:p w14:paraId="3588151E"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本文件与现行相关法律、法规、规章及相关标准协调一致。</w:t>
      </w:r>
    </w:p>
    <w:p w14:paraId="409EF997"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八、重大分歧意见的处理经过和依据</w:t>
      </w:r>
    </w:p>
    <w:p w14:paraId="2DD9D998"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无。</w:t>
      </w:r>
    </w:p>
    <w:p w14:paraId="197D577D"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九、标准性质的建议说明</w:t>
      </w:r>
    </w:p>
    <w:p w14:paraId="789223E2"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建议本文件的性质为推荐性行业标准。</w:t>
      </w:r>
    </w:p>
    <w:p w14:paraId="19778E43"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十、贯彻标准的要求和措施建议</w:t>
      </w:r>
    </w:p>
    <w:p w14:paraId="1A996F3E"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建议本文件批准发布6个月后实施。</w:t>
      </w:r>
      <w:r>
        <w:rPr>
          <w:rFonts w:asciiTheme="majorEastAsia" w:eastAsiaTheme="majorEastAsia" w:hAnsiTheme="majorEastAsia" w:hint="eastAsia"/>
          <w:sz w:val="24"/>
        </w:rPr>
        <w:t>建议在本文件发布后两年内进行宣贯，宣</w:t>
      </w:r>
      <w:proofErr w:type="gramStart"/>
      <w:r>
        <w:rPr>
          <w:rFonts w:asciiTheme="majorEastAsia" w:eastAsiaTheme="majorEastAsia" w:hAnsiTheme="majorEastAsia" w:hint="eastAsia"/>
          <w:sz w:val="24"/>
        </w:rPr>
        <w:t>贯对象</w:t>
      </w:r>
      <w:proofErr w:type="gramEnd"/>
      <w:r>
        <w:rPr>
          <w:rFonts w:asciiTheme="majorEastAsia" w:eastAsiaTheme="majorEastAsia" w:hAnsiTheme="majorEastAsia" w:hint="eastAsia"/>
          <w:sz w:val="24"/>
        </w:rPr>
        <w:t>主要是生态环境、城市管理、市场监督等相关部门以及油烟颗粒物在线监测仪的生产和供应、科研院所、环境监测和计量、环境治理等单位。</w:t>
      </w:r>
    </w:p>
    <w:p w14:paraId="0B4D5B45"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十一、废止现行相关标准的建议</w:t>
      </w:r>
    </w:p>
    <w:p w14:paraId="31B30CF5" w14:textId="77777777" w:rsidR="00094034" w:rsidRDefault="00000000">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无。</w:t>
      </w:r>
    </w:p>
    <w:p w14:paraId="3D04D0E5" w14:textId="77777777" w:rsidR="00094034" w:rsidRDefault="00000000">
      <w:pPr>
        <w:spacing w:line="360" w:lineRule="auto"/>
        <w:rPr>
          <w:rFonts w:asciiTheme="majorEastAsia" w:eastAsiaTheme="majorEastAsia" w:hAnsiTheme="majorEastAsia" w:cs="黑体" w:hint="eastAsia"/>
          <w:sz w:val="24"/>
        </w:rPr>
      </w:pPr>
      <w:r>
        <w:rPr>
          <w:rFonts w:asciiTheme="majorEastAsia" w:eastAsiaTheme="majorEastAsia" w:hAnsiTheme="majorEastAsia" w:cs="黑体" w:hint="eastAsia"/>
          <w:sz w:val="24"/>
        </w:rPr>
        <w:t>十二、其他应予说明的事项</w:t>
      </w:r>
    </w:p>
    <w:p w14:paraId="7CCEBC60" w14:textId="77777777" w:rsidR="00094034" w:rsidRDefault="00000000">
      <w:pPr>
        <w:spacing w:line="360" w:lineRule="auto"/>
        <w:rPr>
          <w:rFonts w:asciiTheme="majorEastAsia" w:eastAsiaTheme="majorEastAsia" w:hAnsiTheme="majorEastAsia" w:hint="eastAsia"/>
          <w:sz w:val="24"/>
        </w:rPr>
      </w:pPr>
      <w:r>
        <w:rPr>
          <w:rFonts w:asciiTheme="majorEastAsia" w:eastAsiaTheme="majorEastAsia" w:hAnsiTheme="majorEastAsia" w:hint="eastAsia"/>
          <w:sz w:val="24"/>
        </w:rPr>
        <w:t xml:space="preserve">    无。</w:t>
      </w:r>
    </w:p>
    <w:sectPr w:rsidR="00094034">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76CA9" w14:textId="77777777" w:rsidR="0037243B" w:rsidRDefault="0037243B">
      <w:r>
        <w:separator/>
      </w:r>
    </w:p>
  </w:endnote>
  <w:endnote w:type="continuationSeparator" w:id="0">
    <w:p w14:paraId="0637EA34" w14:textId="77777777" w:rsidR="0037243B" w:rsidRDefault="0037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AC12E" w14:textId="77777777" w:rsidR="00094034" w:rsidRDefault="00000000">
    <w:pPr>
      <w:pStyle w:val="a6"/>
    </w:pPr>
    <w:r>
      <w:rPr>
        <w:noProof/>
      </w:rPr>
      <mc:AlternateContent>
        <mc:Choice Requires="wps">
          <w:drawing>
            <wp:anchor distT="0" distB="0" distL="114300" distR="114300" simplePos="0" relativeHeight="251659264" behindDoc="0" locked="0" layoutInCell="1" allowOverlap="1" wp14:anchorId="2315BBFE" wp14:editId="13D9B6A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0BAB3" w14:textId="77777777" w:rsidR="00094034" w:rsidRDefault="00000000">
                          <w:pPr>
                            <w:pStyle w:val="a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15BBF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240BAB3" w14:textId="77777777" w:rsidR="00094034" w:rsidRDefault="00000000">
                    <w:pPr>
                      <w:pStyle w:val="a6"/>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BC99C" w14:textId="77777777" w:rsidR="0037243B" w:rsidRDefault="0037243B">
      <w:r>
        <w:separator/>
      </w:r>
    </w:p>
  </w:footnote>
  <w:footnote w:type="continuationSeparator" w:id="0">
    <w:p w14:paraId="4945ED8A" w14:textId="77777777" w:rsidR="0037243B" w:rsidRDefault="00372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96A84"/>
    <w:multiLevelType w:val="multilevel"/>
    <w:tmpl w:val="0D896A84"/>
    <w:lvl w:ilvl="0">
      <w:start w:val="1"/>
      <w:numFmt w:val="decimal"/>
      <w:suff w:val="nothing"/>
      <w:lvlText w:val="%1　"/>
      <w:lvlJc w:val="left"/>
      <w:rPr>
        <w:rFonts w:ascii="黑体" w:eastAsia="黑体"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decimal"/>
      <w:pStyle w:val="2"/>
      <w:suff w:val="nothing"/>
      <w:lvlText w:val="%1.%2　"/>
      <w:lvlJc w:val="left"/>
      <w:pPr>
        <w:ind w:left="0" w:firstLine="0"/>
      </w:pPr>
      <w:rPr>
        <w:rFonts w:ascii="黑体" w:eastAsia="黑体" w:hint="eastAsia"/>
        <w:color w:val="auto"/>
      </w:rPr>
    </w:lvl>
    <w:lvl w:ilvl="2">
      <w:start w:val="1"/>
      <w:numFmt w:val="decimal"/>
      <w:pStyle w:val="3"/>
      <w:suff w:val="nothing"/>
      <w:lvlText w:val="%1.%2.%3　"/>
      <w:lvlJc w:val="left"/>
      <w:pPr>
        <w:ind w:left="142" w:firstLine="0"/>
      </w:pPr>
    </w:lvl>
    <w:lvl w:ilvl="3">
      <w:start w:val="1"/>
      <w:numFmt w:val="decimal"/>
      <w:suff w:val="nothing"/>
      <w:lvlText w:val="%1.%2.%3.%4　"/>
      <w:lvlJc w:val="left"/>
      <w:pPr>
        <w:ind w:left="-540" w:firstLine="0"/>
      </w:pPr>
      <w:rPr>
        <w:rFonts w:ascii="黑体" w:eastAsia="黑体" w:hint="eastAsia"/>
      </w:rPr>
    </w:lvl>
    <w:lvl w:ilvl="4">
      <w:start w:val="1"/>
      <w:numFmt w:val="decimal"/>
      <w:suff w:val="nothing"/>
      <w:lvlText w:val="%1.%2.%3.%4.%5　"/>
      <w:lvlJc w:val="left"/>
      <w:pPr>
        <w:ind w:left="-540" w:firstLine="0"/>
      </w:pPr>
      <w:rPr>
        <w:rFonts w:ascii="黑体" w:eastAsia="黑体" w:hint="eastAsia"/>
      </w:rPr>
    </w:lvl>
    <w:lvl w:ilvl="5">
      <w:start w:val="1"/>
      <w:numFmt w:val="decimal"/>
      <w:lvlText w:val="%1.%2.%3.%4.%5.%6"/>
      <w:lvlJc w:val="left"/>
      <w:pPr>
        <w:ind w:left="-540" w:firstLine="0"/>
      </w:pPr>
      <w:rPr>
        <w:rFonts w:hint="eastAsia"/>
      </w:rPr>
    </w:lvl>
    <w:lvl w:ilvl="6">
      <w:start w:val="1"/>
      <w:numFmt w:val="decimal"/>
      <w:lvlText w:val="%1.%2.%3.%4.%5.%6.%7"/>
      <w:lvlJc w:val="left"/>
      <w:pPr>
        <w:ind w:left="-540" w:firstLine="0"/>
      </w:pPr>
      <w:rPr>
        <w:rFonts w:hint="eastAsia"/>
      </w:rPr>
    </w:lvl>
    <w:lvl w:ilvl="7">
      <w:start w:val="1"/>
      <w:numFmt w:val="decimal"/>
      <w:lvlText w:val="%1.%2.%3.%4.%5.%6.%7.%8"/>
      <w:lvlJc w:val="left"/>
      <w:pPr>
        <w:ind w:left="-540" w:firstLine="0"/>
      </w:pPr>
      <w:rPr>
        <w:rFonts w:hint="eastAsia"/>
      </w:rPr>
    </w:lvl>
    <w:lvl w:ilvl="8">
      <w:start w:val="1"/>
      <w:numFmt w:val="decimal"/>
      <w:lvlText w:val="%1.%2.%3.%4.%5.%6.%7.%8.%9"/>
      <w:lvlJc w:val="left"/>
      <w:pPr>
        <w:ind w:left="-540" w:firstLine="0"/>
      </w:pPr>
      <w:rPr>
        <w:rFonts w:hint="eastAsia"/>
      </w:rPr>
    </w:lvl>
  </w:abstractNum>
  <w:abstractNum w:abstractNumId="1" w15:restartNumberingAfterBreak="0">
    <w:nsid w:val="5F2B39E4"/>
    <w:multiLevelType w:val="multilevel"/>
    <w:tmpl w:val="5F2B39E4"/>
    <w:lvl w:ilvl="0">
      <w:start w:val="1"/>
      <w:numFmt w:val="lowerLetter"/>
      <w:lvlText w:val="%1)"/>
      <w:lvlJc w:val="left"/>
      <w:pPr>
        <w:ind w:left="545" w:hanging="440"/>
      </w:pPr>
    </w:lvl>
    <w:lvl w:ilvl="1">
      <w:start w:val="1"/>
      <w:numFmt w:val="lowerLetter"/>
      <w:lvlText w:val="%2)"/>
      <w:lvlJc w:val="left"/>
      <w:pPr>
        <w:ind w:left="985" w:hanging="440"/>
      </w:pPr>
    </w:lvl>
    <w:lvl w:ilvl="2">
      <w:start w:val="1"/>
      <w:numFmt w:val="lowerRoman"/>
      <w:lvlText w:val="%3."/>
      <w:lvlJc w:val="right"/>
      <w:pPr>
        <w:ind w:left="1425" w:hanging="440"/>
      </w:pPr>
    </w:lvl>
    <w:lvl w:ilvl="3">
      <w:start w:val="1"/>
      <w:numFmt w:val="decimal"/>
      <w:lvlText w:val="%4."/>
      <w:lvlJc w:val="left"/>
      <w:pPr>
        <w:ind w:left="1865" w:hanging="440"/>
      </w:pPr>
    </w:lvl>
    <w:lvl w:ilvl="4">
      <w:start w:val="1"/>
      <w:numFmt w:val="lowerLetter"/>
      <w:lvlText w:val="%5)"/>
      <w:lvlJc w:val="left"/>
      <w:pPr>
        <w:ind w:left="2305" w:hanging="440"/>
      </w:pPr>
    </w:lvl>
    <w:lvl w:ilvl="5">
      <w:start w:val="1"/>
      <w:numFmt w:val="lowerRoman"/>
      <w:lvlText w:val="%6."/>
      <w:lvlJc w:val="right"/>
      <w:pPr>
        <w:ind w:left="2745" w:hanging="440"/>
      </w:pPr>
    </w:lvl>
    <w:lvl w:ilvl="6">
      <w:start w:val="1"/>
      <w:numFmt w:val="decimal"/>
      <w:lvlText w:val="%7."/>
      <w:lvlJc w:val="left"/>
      <w:pPr>
        <w:ind w:left="3185" w:hanging="440"/>
      </w:pPr>
    </w:lvl>
    <w:lvl w:ilvl="7">
      <w:start w:val="1"/>
      <w:numFmt w:val="lowerLetter"/>
      <w:lvlText w:val="%8)"/>
      <w:lvlJc w:val="left"/>
      <w:pPr>
        <w:ind w:left="3625" w:hanging="440"/>
      </w:pPr>
    </w:lvl>
    <w:lvl w:ilvl="8">
      <w:start w:val="1"/>
      <w:numFmt w:val="lowerRoman"/>
      <w:lvlText w:val="%9."/>
      <w:lvlJc w:val="right"/>
      <w:pPr>
        <w:ind w:left="4065" w:hanging="440"/>
      </w:pPr>
    </w:lvl>
  </w:abstractNum>
  <w:num w:numId="1" w16cid:durableId="1062489245">
    <w:abstractNumId w:val="0"/>
  </w:num>
  <w:num w:numId="2" w16cid:durableId="1655795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4249F9"/>
    <w:rsid w:val="00094034"/>
    <w:rsid w:val="00097472"/>
    <w:rsid w:val="00126031"/>
    <w:rsid w:val="0013539D"/>
    <w:rsid w:val="00141EC2"/>
    <w:rsid w:val="001E3D65"/>
    <w:rsid w:val="00203AFA"/>
    <w:rsid w:val="00232C71"/>
    <w:rsid w:val="002460D7"/>
    <w:rsid w:val="0027405A"/>
    <w:rsid w:val="0037243B"/>
    <w:rsid w:val="003B052F"/>
    <w:rsid w:val="00445A5A"/>
    <w:rsid w:val="00453607"/>
    <w:rsid w:val="004C71D3"/>
    <w:rsid w:val="005155BA"/>
    <w:rsid w:val="005438FA"/>
    <w:rsid w:val="00581677"/>
    <w:rsid w:val="005F31D0"/>
    <w:rsid w:val="0066096B"/>
    <w:rsid w:val="00677283"/>
    <w:rsid w:val="00690D66"/>
    <w:rsid w:val="00742CC3"/>
    <w:rsid w:val="00750EE0"/>
    <w:rsid w:val="007F3672"/>
    <w:rsid w:val="00846F1C"/>
    <w:rsid w:val="008F43F1"/>
    <w:rsid w:val="00927202"/>
    <w:rsid w:val="0093470B"/>
    <w:rsid w:val="0095108F"/>
    <w:rsid w:val="00A35B1B"/>
    <w:rsid w:val="00A83A32"/>
    <w:rsid w:val="00B141B1"/>
    <w:rsid w:val="00B5476D"/>
    <w:rsid w:val="00B7627A"/>
    <w:rsid w:val="00C57EAE"/>
    <w:rsid w:val="00C8140C"/>
    <w:rsid w:val="00D0742F"/>
    <w:rsid w:val="00E64CEF"/>
    <w:rsid w:val="00E73FB0"/>
    <w:rsid w:val="00F37605"/>
    <w:rsid w:val="00F94038"/>
    <w:rsid w:val="00FB284B"/>
    <w:rsid w:val="00FD14BA"/>
    <w:rsid w:val="00FD7B70"/>
    <w:rsid w:val="09C11EE5"/>
    <w:rsid w:val="0D121AAC"/>
    <w:rsid w:val="10112D69"/>
    <w:rsid w:val="121B1B42"/>
    <w:rsid w:val="13CE068A"/>
    <w:rsid w:val="1530612D"/>
    <w:rsid w:val="16093A4C"/>
    <w:rsid w:val="1821511F"/>
    <w:rsid w:val="18D849E1"/>
    <w:rsid w:val="2A7B35F3"/>
    <w:rsid w:val="2D711EB0"/>
    <w:rsid w:val="324249F9"/>
    <w:rsid w:val="379A02F1"/>
    <w:rsid w:val="3D6630A9"/>
    <w:rsid w:val="44F24093"/>
    <w:rsid w:val="4ADD1B95"/>
    <w:rsid w:val="4F291573"/>
    <w:rsid w:val="508F3BA2"/>
    <w:rsid w:val="53EF5DA2"/>
    <w:rsid w:val="55A87BBC"/>
    <w:rsid w:val="574511BD"/>
    <w:rsid w:val="5FFF21E1"/>
    <w:rsid w:val="620A3F55"/>
    <w:rsid w:val="67E22CA6"/>
    <w:rsid w:val="6888718C"/>
    <w:rsid w:val="6F21085E"/>
    <w:rsid w:val="71031017"/>
    <w:rsid w:val="7F8F4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9F6E7"/>
  <w15:docId w15:val="{0D823405-6952-47AC-9BED-1248ACBF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0"/>
    <w:qFormat/>
    <w:pPr>
      <w:keepNext/>
      <w:keepLines/>
      <w:numPr>
        <w:ilvl w:val="1"/>
        <w:numId w:val="1"/>
      </w:numPr>
      <w:spacing w:beforeLines="50" w:afterLines="50" w:line="360" w:lineRule="exact"/>
      <w:ind w:left="142"/>
      <w:outlineLvl w:val="1"/>
    </w:pPr>
    <w:rPr>
      <w:rFonts w:ascii="黑体" w:eastAsia="黑体" w:hAnsi="黑体"/>
      <w:bCs/>
      <w:kern w:val="0"/>
      <w:sz w:val="20"/>
      <w:szCs w:val="21"/>
    </w:rPr>
  </w:style>
  <w:style w:type="paragraph" w:styleId="3">
    <w:name w:val="heading 3"/>
    <w:basedOn w:val="a"/>
    <w:next w:val="a0"/>
    <w:qFormat/>
    <w:pPr>
      <w:keepNext/>
      <w:keepLines/>
      <w:numPr>
        <w:ilvl w:val="2"/>
        <w:numId w:val="1"/>
      </w:numPr>
      <w:spacing w:beforeLines="50" w:before="50" w:afterLines="50" w:after="50" w:line="360" w:lineRule="exact"/>
      <w:outlineLvl w:val="2"/>
    </w:pPr>
    <w:rPr>
      <w:rFonts w:ascii="黑体" w:eastAsia="黑体" w:hAnsi="黑体"/>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spacing w:line="360" w:lineRule="auto"/>
      <w:ind w:firstLineChars="200" w:firstLine="420"/>
    </w:pPr>
    <w:rPr>
      <w:kern w:val="0"/>
      <w:szCs w:val="21"/>
    </w:rPr>
  </w:style>
  <w:style w:type="paragraph" w:styleId="a4">
    <w:name w:val="caption"/>
    <w:basedOn w:val="a"/>
    <w:next w:val="a"/>
    <w:unhideWhenUsed/>
    <w:qFormat/>
    <w:pPr>
      <w:jc w:val="center"/>
    </w:pPr>
    <w:rPr>
      <w:rFonts w:ascii="Times New Roman" w:eastAsia="黑体" w:hAnsi="Times New Roman"/>
    </w:rPr>
  </w:style>
  <w:style w:type="paragraph" w:styleId="a5">
    <w:name w:val="annotation text"/>
    <w:basedOn w:val="a"/>
    <w:pPr>
      <w:jc w:val="left"/>
    </w:p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link w:val="a8"/>
    <w:qFormat/>
    <w:pPr>
      <w:tabs>
        <w:tab w:val="center" w:pos="4153"/>
        <w:tab w:val="right" w:pos="8306"/>
      </w:tabs>
      <w:snapToGrid w:val="0"/>
      <w:jc w:val="center"/>
    </w:pPr>
    <w:rPr>
      <w:sz w:val="18"/>
      <w:szCs w:val="18"/>
    </w:rPr>
  </w:style>
  <w:style w:type="table" w:styleId="a9">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qFormat/>
    <w:rPr>
      <w:b/>
    </w:rPr>
  </w:style>
  <w:style w:type="character" w:styleId="ab">
    <w:name w:val="annotation reference"/>
    <w:basedOn w:val="a1"/>
    <w:rPr>
      <w:sz w:val="21"/>
      <w:szCs w:val="21"/>
    </w:rPr>
  </w:style>
  <w:style w:type="paragraph" w:customStyle="1" w:styleId="p0">
    <w:name w:val="p0"/>
    <w:basedOn w:val="a"/>
    <w:qFormat/>
    <w:pPr>
      <w:widowControl/>
    </w:pPr>
    <w:rPr>
      <w:kern w:val="0"/>
      <w:szCs w:val="21"/>
    </w:rPr>
  </w:style>
  <w:style w:type="paragraph" w:styleId="ac">
    <w:name w:val="List Paragraph"/>
    <w:basedOn w:val="a"/>
    <w:autoRedefine/>
    <w:uiPriority w:val="34"/>
    <w:qFormat/>
    <w:rsid w:val="00742CC3"/>
    <w:pPr>
      <w:adjustRightInd w:val="0"/>
      <w:snapToGrid w:val="0"/>
      <w:spacing w:beforeLines="50" w:before="156"/>
      <w:jc w:val="center"/>
    </w:pPr>
    <w:rPr>
      <w:rFonts w:asciiTheme="majorEastAsia" w:eastAsiaTheme="majorEastAsia" w:hAnsiTheme="majorEastAsia" w:cs="Times New Roman"/>
      <w:szCs w:val="21"/>
    </w:rPr>
  </w:style>
  <w:style w:type="character" w:customStyle="1" w:styleId="Char">
    <w:name w:val="英文关键词 Char"/>
    <w:basedOn w:val="a1"/>
    <w:link w:val="ad"/>
    <w:autoRedefine/>
    <w:qFormat/>
    <w:rPr>
      <w:rFonts w:eastAsia="Times New Roman"/>
    </w:rPr>
  </w:style>
  <w:style w:type="paragraph" w:customStyle="1" w:styleId="ad">
    <w:name w:val="英文关键词"/>
    <w:basedOn w:val="a"/>
    <w:link w:val="Char"/>
    <w:autoRedefine/>
    <w:qFormat/>
    <w:rPr>
      <w:rFonts w:eastAsia="Times New Roman"/>
    </w:rPr>
  </w:style>
  <w:style w:type="character" w:customStyle="1" w:styleId="a8">
    <w:name w:val="页眉 字符"/>
    <w:basedOn w:val="a1"/>
    <w:link w:val="a7"/>
    <w:qFormat/>
    <w:rPr>
      <w:rFonts w:asciiTheme="minorHAnsi" w:eastAsiaTheme="minorEastAsia" w:hAnsiTheme="minorHAnsi" w:cstheme="minorBidi"/>
      <w:kern w:val="2"/>
      <w:sz w:val="18"/>
      <w:szCs w:val="18"/>
    </w:rPr>
  </w:style>
  <w:style w:type="character" w:customStyle="1" w:styleId="font21">
    <w:name w:val="font21"/>
    <w:basedOn w:val="a1"/>
    <w:qFormat/>
    <w:rPr>
      <w:rFonts w:ascii="Times New Roman" w:hAnsi="Times New Roman" w:cs="Times New Roman" w:hint="default"/>
      <w:color w:val="000000"/>
      <w:sz w:val="21"/>
      <w:szCs w:val="21"/>
      <w:u w:val="none"/>
    </w:rPr>
  </w:style>
  <w:style w:type="character" w:customStyle="1" w:styleId="font11">
    <w:name w:val="font11"/>
    <w:basedOn w:val="a1"/>
    <w:rPr>
      <w:rFonts w:ascii="宋体" w:eastAsia="宋体" w:hAnsi="宋体" w:cs="宋体" w:hint="eastAsia"/>
      <w:color w:val="000000"/>
      <w:sz w:val="21"/>
      <w:szCs w:val="21"/>
      <w:u w:val="none"/>
    </w:rPr>
  </w:style>
  <w:style w:type="paragraph" w:customStyle="1" w:styleId="1">
    <w:name w:val="修订1"/>
    <w:hidden/>
    <w:uiPriority w:val="99"/>
    <w:unhideWhenUsed/>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png"/><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26</Pages>
  <Words>7053</Words>
  <Characters>8536</Characters>
  <Application>Microsoft Office Word</Application>
  <DocSecurity>0</DocSecurity>
  <Lines>948</Lines>
  <Paragraphs>974</Paragraphs>
  <ScaleCrop>false</ScaleCrop>
  <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空</dc:creator>
  <cp:lastModifiedBy>yong wang</cp:lastModifiedBy>
  <cp:revision>5</cp:revision>
  <dcterms:created xsi:type="dcterms:W3CDTF">2025-09-15T06:03:00Z</dcterms:created>
  <dcterms:modified xsi:type="dcterms:W3CDTF">2025-09-25T06:09:00Z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BA6037F0CFFA42F5B1E8283B07DFDC38_13</vt:lpwstr>
  </property>
  <property fmtid="{D5CDD505-2E9C-101B-9397-08002B2CF9AE}" pid="4" name="KSOTemplateDocerSaveRecord">
    <vt:lpwstr>eyJoZGlkIjoiZDUyYmQ0NjQwMWJiOTY5Y2E5MmRhMWQ1Y2I5YWEzNjgiLCJ1c2VySWQiOiIxMTMwNTc5NjA0In0=</vt:lpwstr>
  </property>
</Properties>
</file>